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line="240" w:lineRule="auto"/>
        <w:jc w:val="center"/>
        <w:textAlignment w:val="auto"/>
        <w:outlineLvl w:val="9"/>
        <w:rPr>
          <w:rFonts w:hint="default"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德惠市2025年预算绩效管理工作开展情况</w:t>
      </w:r>
    </w:p>
    <w:p>
      <w:pPr>
        <w:widowControl w:val="0"/>
        <w:wordWrap/>
        <w:adjustRightInd/>
        <w:snapToGrid/>
        <w:spacing w:line="240" w:lineRule="auto"/>
        <w:textAlignment w:val="auto"/>
        <w:outlineLvl w:val="9"/>
        <w:rPr>
          <w:rFonts w:hint="eastAsia" w:ascii="仿宋_GB2312" w:hAnsi="仿宋_GB2312" w:eastAsia="仿宋_GB2312" w:cs="仿宋_GB2312"/>
          <w:sz w:val="24"/>
          <w:szCs w:val="24"/>
        </w:rPr>
      </w:pPr>
    </w:p>
    <w:p>
      <w:pPr>
        <w:widowControl w:val="0"/>
        <w:wordWrap/>
        <w:adjustRightInd/>
        <w:snapToGrid/>
        <w:spacing w:line="240" w:lineRule="auto"/>
        <w:ind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2025年，我市深入贯彻落实《吉林省全面强化财政绩效管理改革工作方案》、深化零基预算改革等省委省政府、省财政厅工作部署，牢固树立“花钱必问效、无效必问责”绩效理念，以预算管理一体化系统为支撑，紧扣目标管理、运行监控、绩效评价全链条闭环管理，持续推动预算绩效管理由“有形覆盖”向“有效覆盖”转变</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充分发挥绩效指挥棒作用，优化财政资源配置</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现将全年工作开展情况报告如下：</w:t>
      </w:r>
    </w:p>
    <w:p>
      <w:pPr>
        <w:widowControl w:val="0"/>
        <w:wordWrap/>
        <w:adjustRightInd/>
        <w:snapToGrid/>
        <w:spacing w:line="240" w:lineRule="auto"/>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一、强化目标管理，把好源头关口</w:t>
      </w:r>
    </w:p>
    <w:p>
      <w:pPr>
        <w:widowControl w:val="0"/>
        <w:wordWrap/>
        <w:adjustRightInd/>
        <w:snapToGrid/>
        <w:spacing w:line="240" w:lineRule="auto"/>
        <w:ind w:firstLine="640" w:firstLineChars="200"/>
        <w:textAlignment w:val="auto"/>
        <w:outlineLvl w:val="9"/>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严格执行绩效目标与预算编制、审核、批复“三同步”制度，切实把好预算准入关口。</w:t>
      </w:r>
      <w:r>
        <w:rPr>
          <w:rFonts w:hint="eastAsia" w:ascii="仿宋_GB2312" w:hAnsi="仿宋" w:eastAsia="仿宋_GB2312"/>
          <w:b/>
          <w:bCs/>
          <w:sz w:val="32"/>
          <w:szCs w:val="32"/>
          <w:lang w:val="en-US" w:eastAsia="zh-CN"/>
        </w:rPr>
        <w:t>一是</w:t>
      </w:r>
      <w:r>
        <w:rPr>
          <w:rFonts w:hint="eastAsia" w:ascii="仿宋_GB2312" w:hAnsi="仿宋" w:eastAsia="仿宋_GB2312"/>
          <w:sz w:val="32"/>
          <w:szCs w:val="32"/>
          <w:lang w:val="en-US" w:eastAsia="zh-CN"/>
        </w:rPr>
        <w:t>实现全覆盖管理。将一般公共预算、政府性基金预算等各类预算资金的部门整体支出、项目支出全部纳入绩效目标管理，重点覆盖乡村振兴、教育医疗、民生保障、基础设施等重点领域资金，实现绩效管控无死角。</w:t>
      </w:r>
      <w:r>
        <w:rPr>
          <w:rFonts w:hint="eastAsia" w:ascii="仿宋_GB2312" w:hAnsi="仿宋" w:eastAsia="仿宋_GB2312"/>
          <w:b/>
          <w:bCs/>
          <w:sz w:val="32"/>
          <w:szCs w:val="32"/>
          <w:lang w:val="en-US" w:eastAsia="zh-CN"/>
        </w:rPr>
        <w:t>二是</w:t>
      </w:r>
      <w:r>
        <w:rPr>
          <w:rFonts w:hint="eastAsia" w:ascii="仿宋_GB2312" w:hAnsi="仿宋" w:eastAsia="仿宋_GB2312"/>
          <w:sz w:val="32"/>
          <w:szCs w:val="32"/>
          <w:lang w:val="en-US" w:eastAsia="zh-CN"/>
        </w:rPr>
        <w:t xml:space="preserve">严把编报审核关口。落实“单位自审、部门复审、财政终审”三级审核机制，依托全省统一绩效指标体系，指导各预算单位细化量化产出、效益、满意度等核心指标，从源头提升绩效目标科学性、可操作性。 </w:t>
      </w:r>
    </w:p>
    <w:p>
      <w:pPr>
        <w:widowControl w:val="0"/>
        <w:wordWrap/>
        <w:adjustRightInd/>
        <w:snapToGrid/>
        <w:spacing w:line="240" w:lineRule="auto"/>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二、加强运行监控，确保目标实现</w:t>
      </w:r>
    </w:p>
    <w:p>
      <w:pPr>
        <w:widowControl w:val="0"/>
        <w:wordWrap/>
        <w:adjustRightInd/>
        <w:snapToGrid/>
        <w:spacing w:line="240" w:lineRule="auto"/>
        <w:ind w:firstLine="640" w:firstLineChars="200"/>
        <w:textAlignment w:val="auto"/>
        <w:outlineLvl w:val="9"/>
        <w:rPr>
          <w:rFonts w:hint="eastAsia" w:ascii="仿宋_GB2312" w:hAnsi="仿宋" w:eastAsia="仿宋_GB2312"/>
          <w:sz w:val="32"/>
          <w:szCs w:val="32"/>
          <w:lang w:val="en-US" w:eastAsia="zh-CN"/>
        </w:rPr>
      </w:pPr>
      <w:r>
        <w:rPr>
          <w:rFonts w:hint="eastAsia" w:ascii="仿宋_GB2312" w:hAnsi="仿宋_GB2312" w:eastAsia="仿宋_GB2312" w:cs="仿宋_GB2312"/>
          <w:sz w:val="32"/>
          <w:szCs w:val="32"/>
          <w:highlight w:val="none"/>
        </w:rPr>
        <w:t>组织部门对202</w:t>
      </w:r>
      <w:r>
        <w:rPr>
          <w:rFonts w:hint="eastAsia" w:ascii="仿宋_GB2312" w:hAnsi="仿宋_GB2312" w:eastAsia="仿宋_GB2312" w:cs="仿宋_GB2312"/>
          <w:sz w:val="32"/>
          <w:szCs w:val="32"/>
          <w:highlight w:val="none"/>
          <w:lang w:val="en-US" w:eastAsia="zh-CN"/>
        </w:rPr>
        <w:t>5</w:t>
      </w:r>
      <w:r>
        <w:rPr>
          <w:rFonts w:hint="eastAsia" w:ascii="仿宋_GB2312" w:hAnsi="仿宋_GB2312" w:eastAsia="仿宋_GB2312" w:cs="仿宋_GB2312"/>
          <w:sz w:val="32"/>
          <w:szCs w:val="32"/>
          <w:highlight w:val="none"/>
        </w:rPr>
        <w:t>年</w:t>
      </w:r>
      <w:r>
        <w:rPr>
          <w:rFonts w:hint="eastAsia" w:ascii="仿宋_GB2312" w:hAnsi="仿宋" w:eastAsia="仿宋_GB2312"/>
          <w:sz w:val="32"/>
          <w:szCs w:val="32"/>
          <w:highlight w:val="none"/>
          <w:lang w:val="en-US" w:eastAsia="zh-CN"/>
        </w:rPr>
        <w:t>纳入部门预算的1972个二级项目</w:t>
      </w:r>
      <w:r>
        <w:rPr>
          <w:rFonts w:hint="eastAsia" w:ascii="仿宋_GB2312" w:hAnsi="仿宋_GB2312" w:eastAsia="仿宋_GB2312" w:cs="仿宋_GB2312"/>
          <w:sz w:val="32"/>
          <w:szCs w:val="32"/>
          <w:highlight w:val="none"/>
        </w:rPr>
        <w:t>预算执行及绩效目标实现情况开展财政定期绩效监控</w:t>
      </w:r>
      <w:r>
        <w:rPr>
          <w:rFonts w:hint="eastAsia" w:ascii="仿宋_GB2312" w:hAnsi="仿宋_GB2312" w:eastAsia="仿宋_GB2312" w:cs="仿宋_GB2312"/>
          <w:sz w:val="32"/>
          <w:szCs w:val="32"/>
          <w:highlight w:val="none"/>
          <w:lang w:eastAsia="zh-CN"/>
        </w:rPr>
        <w:t>，</w:t>
      </w:r>
      <w:r>
        <w:rPr>
          <w:rFonts w:hint="eastAsia" w:ascii="仿宋_GB2312" w:hAnsi="仿宋" w:eastAsia="仿宋_GB2312"/>
          <w:sz w:val="32"/>
          <w:szCs w:val="32"/>
          <w:lang w:val="en-US" w:eastAsia="zh-CN"/>
        </w:rPr>
        <w:t>构建部门自主监控、财政重点监控相结合的动态监管机制，常态化开展绩效运行跟踪管控。</w:t>
      </w:r>
      <w:r>
        <w:rPr>
          <w:rFonts w:hint="eastAsia" w:ascii="仿宋_GB2312" w:hAnsi="仿宋" w:eastAsia="仿宋_GB2312"/>
          <w:b/>
          <w:bCs/>
          <w:sz w:val="32"/>
          <w:szCs w:val="32"/>
          <w:lang w:val="en-US" w:eastAsia="zh-CN"/>
        </w:rPr>
        <w:t>一是</w:t>
      </w:r>
      <w:r>
        <w:rPr>
          <w:rFonts w:hint="eastAsia" w:ascii="仿宋_GB2312" w:hAnsi="仿宋" w:eastAsia="仿宋_GB2312"/>
          <w:sz w:val="32"/>
          <w:szCs w:val="32"/>
          <w:lang w:val="en-US" w:eastAsia="zh-CN"/>
        </w:rPr>
        <w:t>常态化开展全覆盖监控。全年开展两轮集中监控，对所有预算单位整体支出及重点项目的资金执行进度、绩效目标完成情况开展动态跟踪，重点紧盯上级转移支付、民生专项资金、大额专项项目，实时掌握项目实施推进情况。</w:t>
      </w:r>
      <w:r>
        <w:rPr>
          <w:rFonts w:hint="eastAsia" w:ascii="仿宋_GB2312" w:hAnsi="仿宋" w:eastAsia="仿宋_GB2312"/>
          <w:b/>
          <w:bCs/>
          <w:sz w:val="32"/>
          <w:szCs w:val="32"/>
          <w:lang w:val="en-US" w:eastAsia="zh-CN"/>
        </w:rPr>
        <w:t>二是</w:t>
      </w:r>
      <w:r>
        <w:rPr>
          <w:rFonts w:hint="eastAsia" w:ascii="仿宋_GB2312" w:hAnsi="仿宋" w:eastAsia="仿宋_GB2312"/>
          <w:sz w:val="32"/>
          <w:szCs w:val="32"/>
          <w:lang w:val="en-US" w:eastAsia="zh-CN"/>
        </w:rPr>
        <w:t>健全预警纠偏机制。依托预算管理一体化系统数据赋能，对预算执行滞后、绩效指标偏离预期、项目推进缓慢的项目及时预警，建立问题台账，督促单位限期整改。对无法按期实施、绩效难以达成的项目，依规暂缓拨付、压减或收回预算资金，有效盘活存量资金，杜绝资金闲置浪费。</w:t>
      </w:r>
    </w:p>
    <w:p>
      <w:pPr>
        <w:widowControl w:val="0"/>
        <w:wordWrap/>
        <w:adjustRightInd/>
        <w:snapToGrid/>
        <w:spacing w:line="240" w:lineRule="auto"/>
        <w:ind w:firstLine="640" w:firstLineChars="200"/>
        <w:textAlignment w:val="auto"/>
        <w:outlineLvl w:val="9"/>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三、深化绩效评价，提升评价质量</w:t>
      </w:r>
    </w:p>
    <w:p>
      <w:pPr>
        <w:widowControl w:val="0"/>
        <w:wordWrap/>
        <w:adjustRightInd/>
        <w:snapToGrid/>
        <w:spacing w:line="240" w:lineRule="auto"/>
        <w:ind w:firstLine="640" w:firstLineChars="200"/>
        <w:textAlignment w:val="auto"/>
        <w:outlineLvl w:val="9"/>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为健全“单位自评、部门评价、财政重点评价”三级评价体系，全方位开展绩效评价工作，构建评价、反馈、整改、应用闭环管理体系。实现自评全覆盖，组织各预算单位完成上年度整体支出和项目支出绩效自评，财政部门逐项复核，纠正自评打分虚高、内容不实、佐证不全等问题，夯实评价基础。结合市委决策部署，充分考量部门预算安排项目的社会关注度、资金额度、项目建设意义等因素，对6个预算项目组织开展财政重点绩效评价。</w:t>
      </w:r>
    </w:p>
    <w:p>
      <w:pPr>
        <w:pStyle w:val="2"/>
        <w:rPr>
          <w:rFonts w:hint="eastAsia" w:ascii="仿宋_GB2312" w:hAnsi="仿宋" w:eastAsia="仿宋_GB2312"/>
          <w:sz w:val="32"/>
          <w:szCs w:val="32"/>
          <w:lang w:val="en-US" w:eastAsia="zh-CN"/>
        </w:rPr>
      </w:pPr>
    </w:p>
    <w:p>
      <w:pPr>
        <w:widowControl w:val="0"/>
        <w:wordWrap/>
        <w:adjustRightInd/>
        <w:snapToGrid/>
        <w:spacing w:line="240" w:lineRule="auto"/>
        <w:ind w:firstLine="640" w:firstLineChars="200"/>
        <w:textAlignment w:val="auto"/>
        <w:outlineLvl w:val="9"/>
        <w:rPr>
          <w:rFonts w:hint="eastAsia" w:ascii="仿宋_GB2312" w:hAnsi="仿宋_GB2312" w:eastAsia="仿宋_GB2312" w:cs="仿宋_GB2312"/>
          <w:b/>
          <w:bCs/>
          <w:sz w:val="32"/>
          <w:szCs w:val="32"/>
        </w:rPr>
        <w:sectPr>
          <w:pgSz w:w="11906" w:h="16838"/>
          <w:pgMar w:top="1440" w:right="1800" w:bottom="1440" w:left="1800" w:header="851" w:footer="992" w:gutter="0"/>
          <w:pgNumType w:fmt="decimal" w:start="1"/>
          <w:cols w:space="720" w:num="1"/>
          <w:docGrid w:type="lines" w:linePitch="312" w:charSpace="0"/>
        </w:sectPr>
      </w:pPr>
      <w:r>
        <w:rPr>
          <w:rFonts w:hint="eastAsia" w:ascii="仿宋_GB2312" w:hAnsi="仿宋_GB2312" w:eastAsia="仿宋_GB2312" w:cs="仿宋_GB2312"/>
          <w:sz w:val="32"/>
          <w:szCs w:val="32"/>
          <w:lang w:val="en-US" w:eastAsia="zh-CN"/>
        </w:rPr>
        <w:t>附：2025年重点项目绩效评价报告摘要</w:t>
      </w:r>
    </w:p>
    <w:p>
      <w:pPr>
        <w:wordWrap/>
        <w:adjustRightInd/>
        <w:spacing w:line="240" w:lineRule="auto"/>
        <w:jc w:val="both"/>
        <w:rPr>
          <w:rFonts w:hint="eastAsia" w:ascii="方正小标宋简体" w:hAnsi="方正小标宋简体" w:eastAsia="方正小标宋简体" w:cs="方正小标宋简体"/>
          <w:b w:val="0"/>
          <w:bCs w:val="0"/>
          <w:sz w:val="72"/>
          <w:szCs w:val="72"/>
          <w:highlight w:val="none"/>
          <w:u w:val="none"/>
          <w:lang w:val="en-US" w:eastAsia="zh-CN"/>
        </w:rPr>
      </w:pPr>
    </w:p>
    <w:p>
      <w:pPr>
        <w:wordWrap/>
        <w:adjustRightInd/>
        <w:spacing w:line="240" w:lineRule="auto"/>
        <w:jc w:val="center"/>
        <w:rPr>
          <w:rFonts w:hint="eastAsia" w:ascii="方正小标宋简体" w:hAnsi="方正小标宋简体" w:eastAsia="方正小标宋简体" w:cs="方正小标宋简体"/>
          <w:b w:val="0"/>
          <w:bCs w:val="0"/>
          <w:sz w:val="72"/>
          <w:szCs w:val="72"/>
          <w:highlight w:val="none"/>
          <w:u w:val="none"/>
          <w:lang w:val="en-US" w:eastAsia="zh-CN"/>
        </w:rPr>
      </w:pPr>
    </w:p>
    <w:p>
      <w:pPr>
        <w:wordWrap/>
        <w:adjustRightInd/>
        <w:spacing w:line="240" w:lineRule="auto"/>
        <w:jc w:val="center"/>
        <w:rPr>
          <w:rFonts w:hint="eastAsia" w:ascii="方正小标宋简体" w:hAnsi="方正小标宋简体" w:eastAsia="方正小标宋简体" w:cs="方正小标宋简体"/>
          <w:b w:val="0"/>
          <w:bCs w:val="0"/>
          <w:sz w:val="72"/>
          <w:szCs w:val="72"/>
          <w:highlight w:val="none"/>
          <w:u w:val="none"/>
          <w:lang w:val="en-US" w:eastAsia="zh-CN"/>
        </w:rPr>
      </w:pPr>
    </w:p>
    <w:p>
      <w:pPr>
        <w:wordWrap/>
        <w:adjustRightInd/>
        <w:spacing w:line="240" w:lineRule="auto"/>
        <w:jc w:val="center"/>
        <w:rPr>
          <w:rFonts w:hint="eastAsia" w:ascii="方正小标宋简体" w:hAnsi="方正小标宋简体" w:eastAsia="方正小标宋简体" w:cs="方正小标宋简体"/>
          <w:b w:val="0"/>
          <w:bCs w:val="0"/>
          <w:sz w:val="72"/>
          <w:szCs w:val="72"/>
          <w:highlight w:val="none"/>
          <w:u w:val="none"/>
          <w:lang w:val="en-US" w:eastAsia="zh-CN"/>
        </w:rPr>
      </w:pPr>
      <w:r>
        <w:rPr>
          <w:rFonts w:hint="eastAsia" w:ascii="方正小标宋简体" w:hAnsi="方正小标宋简体" w:eastAsia="方正小标宋简体" w:cs="方正小标宋简体"/>
          <w:b w:val="0"/>
          <w:bCs w:val="0"/>
          <w:sz w:val="72"/>
          <w:szCs w:val="72"/>
          <w:highlight w:val="none"/>
          <w:u w:val="none"/>
          <w:lang w:val="en-US" w:eastAsia="zh-CN"/>
        </w:rPr>
        <w:t>2025年重点项目绩效</w:t>
      </w:r>
    </w:p>
    <w:p>
      <w:pPr>
        <w:widowControl w:val="0"/>
        <w:wordWrap/>
        <w:adjustRightInd/>
        <w:snapToGrid/>
        <w:spacing w:line="240" w:lineRule="auto"/>
        <w:jc w:val="center"/>
        <w:textAlignment w:val="auto"/>
        <w:rPr>
          <w:rFonts w:hint="eastAsia" w:ascii="方正小标宋简体" w:hAnsi="方正小标宋简体" w:eastAsia="方正小标宋简体" w:cs="方正小标宋简体"/>
          <w:b w:val="0"/>
          <w:bCs w:val="0"/>
          <w:sz w:val="72"/>
          <w:szCs w:val="72"/>
          <w:highlight w:val="none"/>
          <w:u w:val="none"/>
          <w:lang w:val="en-US" w:eastAsia="zh-CN"/>
        </w:rPr>
      </w:pPr>
      <w:r>
        <w:rPr>
          <w:rFonts w:hint="eastAsia" w:ascii="方正小标宋简体" w:hAnsi="方正小标宋简体" w:eastAsia="方正小标宋简体" w:cs="方正小标宋简体"/>
          <w:b w:val="0"/>
          <w:bCs w:val="0"/>
          <w:sz w:val="72"/>
          <w:szCs w:val="72"/>
          <w:highlight w:val="none"/>
          <w:u w:val="none"/>
          <w:lang w:val="en-US" w:eastAsia="zh-CN"/>
        </w:rPr>
        <w:t>评价报告摘要</w:t>
      </w:r>
    </w:p>
    <w:p>
      <w:pPr>
        <w:pStyle w:val="2"/>
        <w:wordWrap/>
        <w:adjustRightInd/>
        <w:spacing w:line="240" w:lineRule="auto"/>
        <w:rPr>
          <w:rFonts w:hint="eastAsia" w:ascii="方正小标宋简体" w:hAnsi="方正小标宋简体" w:eastAsia="方正小标宋简体" w:cs="方正小标宋简体"/>
          <w:b w:val="0"/>
          <w:bCs w:val="0"/>
          <w:sz w:val="72"/>
          <w:szCs w:val="72"/>
          <w:highlight w:val="none"/>
          <w:u w:val="none"/>
          <w:lang w:val="en-US" w:eastAsia="zh-CN"/>
        </w:rPr>
      </w:pPr>
    </w:p>
    <w:p>
      <w:pPr>
        <w:pStyle w:val="3"/>
        <w:wordWrap/>
        <w:adjustRightInd/>
        <w:spacing w:line="240" w:lineRule="auto"/>
        <w:rPr>
          <w:rFonts w:hint="eastAsia" w:ascii="方正小标宋简体" w:hAnsi="方正小标宋简体" w:eastAsia="方正小标宋简体" w:cs="方正小标宋简体"/>
          <w:b w:val="0"/>
          <w:bCs w:val="0"/>
          <w:sz w:val="72"/>
          <w:szCs w:val="72"/>
          <w:highlight w:val="none"/>
          <w:u w:val="none"/>
          <w:lang w:val="en-US" w:eastAsia="zh-CN"/>
        </w:rPr>
      </w:pPr>
    </w:p>
    <w:p>
      <w:pPr>
        <w:wordWrap/>
        <w:adjustRightInd/>
        <w:spacing w:line="240" w:lineRule="auto"/>
        <w:rPr>
          <w:rFonts w:hint="eastAsia"/>
          <w:lang w:val="en-US" w:eastAsia="zh-CN"/>
        </w:rPr>
      </w:pPr>
    </w:p>
    <w:p>
      <w:pPr>
        <w:wordWrap/>
        <w:adjustRightInd/>
        <w:spacing w:line="240" w:lineRule="auto"/>
        <w:rPr>
          <w:rFonts w:hint="eastAsia" w:ascii="方正小标宋简体" w:hAnsi="方正小标宋简体" w:eastAsia="方正小标宋简体" w:cs="方正小标宋简体"/>
          <w:b w:val="0"/>
          <w:bCs w:val="0"/>
          <w:sz w:val="72"/>
          <w:szCs w:val="72"/>
          <w:highlight w:val="none"/>
          <w:u w:val="none"/>
          <w:lang w:val="en-US" w:eastAsia="zh-CN"/>
        </w:rPr>
      </w:pPr>
    </w:p>
    <w:p>
      <w:pPr>
        <w:pStyle w:val="2"/>
        <w:wordWrap/>
        <w:adjustRightInd/>
        <w:spacing w:line="240" w:lineRule="auto"/>
        <w:rPr>
          <w:rFonts w:hint="eastAsia" w:ascii="仿宋_GB2312" w:hAnsi="仿宋_GB2312" w:eastAsia="仿宋_GB2312" w:cs="仿宋_GB2312"/>
          <w:b w:val="0"/>
          <w:bCs w:val="0"/>
          <w:sz w:val="32"/>
          <w:szCs w:val="32"/>
          <w:highlight w:val="none"/>
          <w:u w:val="none"/>
          <w:lang w:val="en-US" w:eastAsia="zh-CN"/>
        </w:rPr>
      </w:pPr>
    </w:p>
    <w:p>
      <w:pPr>
        <w:pStyle w:val="3"/>
        <w:wordWrap/>
        <w:adjustRightInd/>
        <w:spacing w:line="240" w:lineRule="auto"/>
        <w:rPr>
          <w:rFonts w:hint="eastAsia" w:ascii="仿宋_GB2312" w:hAnsi="仿宋_GB2312" w:eastAsia="仿宋_GB2312" w:cs="仿宋_GB2312"/>
          <w:b w:val="0"/>
          <w:bCs w:val="0"/>
          <w:sz w:val="32"/>
          <w:szCs w:val="32"/>
          <w:highlight w:val="none"/>
          <w:u w:val="none"/>
          <w:lang w:val="en-US" w:eastAsia="zh-CN"/>
        </w:rPr>
      </w:pPr>
    </w:p>
    <w:p>
      <w:pPr>
        <w:widowControl w:val="0"/>
        <w:wordWrap/>
        <w:overflowPunct w:val="0"/>
        <w:adjustRightInd/>
        <w:snapToGrid/>
        <w:spacing w:line="240" w:lineRule="auto"/>
        <w:textAlignment w:val="auto"/>
        <w:rPr>
          <w:rFonts w:hint="eastAsia" w:ascii="仿宋_GB2312" w:hAnsi="仿宋_GB2312" w:eastAsia="仿宋_GB2312" w:cs="仿宋_GB2312"/>
          <w:sz w:val="32"/>
          <w:szCs w:val="32"/>
          <w:lang w:val="en-US" w:eastAsia="zh-CN"/>
        </w:rPr>
        <w:sectPr>
          <w:footerReference r:id="rId5" w:type="default"/>
          <w:pgSz w:w="11906" w:h="16838"/>
          <w:pgMar w:top="2098" w:right="1474" w:bottom="1984" w:left="1587" w:header="851" w:footer="992" w:gutter="0"/>
          <w:pgNumType w:fmt="decimal"/>
          <w:cols w:space="720" w:num="1"/>
          <w:docGrid w:type="lines" w:linePitch="312" w:charSpace="0"/>
        </w:sectPr>
      </w:pPr>
    </w:p>
    <w:p>
      <w:pPr>
        <w:widowControl w:val="0"/>
        <w:wordWrap/>
        <w:overflowPunct w:val="0"/>
        <w:adjustRightInd/>
        <w:snapToGrid/>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highlight w:val="none"/>
          <w:lang w:val="en-US" w:eastAsia="zh-CN"/>
        </w:rPr>
        <w:t>城建集中供热项目</w:t>
      </w:r>
      <w:r>
        <w:rPr>
          <w:rFonts w:hint="eastAsia" w:ascii="仿宋_GB2312" w:hAnsi="仿宋_GB2312" w:eastAsia="仿宋_GB2312" w:cs="仿宋_GB2312"/>
          <w:sz w:val="32"/>
          <w:szCs w:val="32"/>
          <w:lang w:val="en-US" w:eastAsia="zh-CN"/>
        </w:rPr>
        <w:t>....................................1</w:t>
      </w:r>
    </w:p>
    <w:p>
      <w:pPr>
        <w:widowControl w:val="0"/>
        <w:wordWrap/>
        <w:overflowPunct w:val="0"/>
        <w:adjustRightInd/>
        <w:snapToGrid/>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highlight w:val="none"/>
          <w:lang w:val="en-US" w:eastAsia="zh-CN"/>
        </w:rPr>
        <w:t>德惠市教育局高中生均公用经费项目</w:t>
      </w:r>
      <w:r>
        <w:rPr>
          <w:rFonts w:hint="eastAsia" w:ascii="仿宋_GB2312" w:hAnsi="仿宋_GB2312" w:eastAsia="仿宋_GB2312" w:cs="仿宋_GB2312"/>
          <w:sz w:val="32"/>
          <w:szCs w:val="32"/>
          <w:lang w:val="en-US" w:eastAsia="zh-CN"/>
        </w:rPr>
        <w:t>....................3</w:t>
      </w:r>
    </w:p>
    <w:p>
      <w:pPr>
        <w:keepNext w:val="0"/>
        <w:keepLines w:val="0"/>
        <w:pageBreakBefore w:val="0"/>
        <w:widowControl w:val="0"/>
        <w:kinsoku/>
        <w:wordWrap/>
        <w:overflowPunct w:val="0"/>
        <w:topLinePunct w:val="0"/>
        <w:autoSpaceDE/>
        <w:autoSpaceDN/>
        <w:bidi w:val="0"/>
        <w:adjustRightInd/>
        <w:snapToGrid/>
        <w:spacing w:line="560" w:lineRule="exact"/>
        <w:jc w:val="lef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highlight w:val="none"/>
          <w:lang w:val="en-US" w:eastAsia="zh-CN"/>
        </w:rPr>
        <w:t>德惠市教育局小学城乡义务教育生均公用经费地方配套资金</w:t>
      </w:r>
    </w:p>
    <w:p>
      <w:pPr>
        <w:widowControl w:val="0"/>
        <w:wordWrap/>
        <w:overflowPunct w:val="0"/>
        <w:adjustRightInd/>
        <w:snapToGrid/>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项目</w:t>
      </w:r>
      <w:r>
        <w:rPr>
          <w:rFonts w:hint="eastAsia" w:ascii="仿宋_GB2312" w:hAnsi="仿宋_GB2312" w:eastAsia="仿宋_GB2312" w:cs="仿宋_GB2312"/>
          <w:sz w:val="32"/>
          <w:szCs w:val="32"/>
          <w:lang w:val="en-US" w:eastAsia="zh-CN"/>
        </w:rPr>
        <w:t>..................................................5</w:t>
      </w:r>
    </w:p>
    <w:p>
      <w:pPr>
        <w:widowControl w:val="0"/>
        <w:wordWrap/>
        <w:overflowPunct w:val="0"/>
        <w:adjustRightInd/>
        <w:snapToGrid/>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highlight w:val="none"/>
          <w:lang w:val="en-US" w:eastAsia="zh-CN"/>
        </w:rPr>
        <w:t>社工岗人员工资及社保缴费</w:t>
      </w:r>
      <w:r>
        <w:rPr>
          <w:rFonts w:hint="eastAsia" w:ascii="仿宋_GB2312" w:hAnsi="仿宋_GB2312" w:eastAsia="仿宋_GB2312" w:cs="仿宋_GB2312"/>
          <w:sz w:val="32"/>
          <w:szCs w:val="32"/>
          <w:lang w:val="en-US" w:eastAsia="zh-CN"/>
        </w:rPr>
        <w:t>............................7</w:t>
      </w:r>
    </w:p>
    <w:p>
      <w:pPr>
        <w:widowControl w:val="0"/>
        <w:wordWrap/>
        <w:overflowPunct w:val="0"/>
        <w:adjustRightInd/>
        <w:snapToGrid/>
        <w:spacing w:line="240" w:lineRule="auto"/>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highlight w:val="none"/>
          <w:lang w:val="en-US" w:eastAsia="zh-CN"/>
        </w:rPr>
        <w:t>农村环卫外包服务费</w:t>
      </w:r>
      <w:r>
        <w:rPr>
          <w:rFonts w:hint="eastAsia" w:ascii="仿宋_GB2312" w:hAnsi="仿宋_GB2312" w:eastAsia="仿宋_GB2312" w:cs="仿宋_GB2312"/>
          <w:sz w:val="32"/>
          <w:szCs w:val="32"/>
          <w:lang w:val="en-US" w:eastAsia="zh-CN"/>
        </w:rPr>
        <w:t>..................................9</w:t>
      </w:r>
    </w:p>
    <w:p>
      <w:pPr>
        <w:widowControl w:val="0"/>
        <w:wordWrap/>
        <w:overflowPunct w:val="0"/>
        <w:adjustRightInd/>
        <w:snapToGrid/>
        <w:spacing w:line="240" w:lineRule="auto"/>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6.机关事业单位退休人员取暖</w:t>
      </w:r>
      <w:r>
        <w:rPr>
          <w:rFonts w:hint="eastAsia" w:ascii="仿宋_GB2312" w:hAnsi="仿宋_GB2312" w:eastAsia="仿宋_GB2312" w:cs="仿宋_GB2312"/>
          <w:sz w:val="32"/>
          <w:szCs w:val="32"/>
          <w:highlight w:val="none"/>
          <w:lang w:val="en-US" w:eastAsia="zh-CN"/>
        </w:rPr>
        <w:t>费项目</w:t>
      </w:r>
      <w:r>
        <w:rPr>
          <w:rFonts w:hint="eastAsia" w:ascii="仿宋_GB2312" w:hAnsi="仿宋_GB2312" w:eastAsia="仿宋_GB2312" w:cs="仿宋_GB2312"/>
          <w:sz w:val="32"/>
          <w:szCs w:val="32"/>
          <w:lang w:val="en-US" w:eastAsia="zh-CN"/>
        </w:rPr>
        <w:t>.....................11</w:t>
      </w:r>
    </w:p>
    <w:p>
      <w:pPr>
        <w:pStyle w:val="2"/>
        <w:wordWrap/>
        <w:adjustRightInd/>
        <w:spacing w:line="240" w:lineRule="auto"/>
        <w:rPr>
          <w:rFonts w:hint="eastAsia" w:ascii="仿宋_GB2312" w:hAnsi="仿宋_GB2312" w:eastAsia="仿宋_GB2312" w:cs="仿宋_GB2312"/>
          <w:sz w:val="32"/>
          <w:szCs w:val="32"/>
          <w:lang w:val="en-US" w:eastAsia="zh-CN"/>
        </w:rPr>
      </w:pPr>
    </w:p>
    <w:p>
      <w:pPr>
        <w:pStyle w:val="3"/>
        <w:wordWrap/>
        <w:adjustRightInd/>
        <w:spacing w:line="240" w:lineRule="auto"/>
        <w:rPr>
          <w:rFonts w:hint="eastAsia" w:ascii="仿宋_GB2312" w:hAnsi="仿宋_GB2312" w:eastAsia="仿宋_GB2312" w:cs="仿宋_GB2312"/>
          <w:sz w:val="32"/>
          <w:szCs w:val="32"/>
          <w:lang w:val="en-US" w:eastAsia="zh-CN"/>
        </w:rPr>
      </w:pPr>
    </w:p>
    <w:p>
      <w:pPr>
        <w:wordWrap/>
        <w:adjustRightInd/>
        <w:spacing w:line="240" w:lineRule="auto"/>
        <w:rPr>
          <w:rFonts w:hint="eastAsia" w:ascii="仿宋_GB2312" w:hAnsi="仿宋_GB2312" w:eastAsia="仿宋_GB2312" w:cs="仿宋_GB2312"/>
          <w:sz w:val="32"/>
          <w:szCs w:val="32"/>
          <w:lang w:val="en-US" w:eastAsia="zh-CN"/>
        </w:rPr>
      </w:pPr>
    </w:p>
    <w:p>
      <w:pPr>
        <w:pStyle w:val="2"/>
        <w:wordWrap/>
        <w:adjustRightInd/>
        <w:spacing w:line="240" w:lineRule="auto"/>
        <w:rPr>
          <w:rFonts w:hint="eastAsia" w:ascii="仿宋_GB2312" w:hAnsi="仿宋_GB2312" w:eastAsia="仿宋_GB2312" w:cs="仿宋_GB2312"/>
          <w:sz w:val="32"/>
          <w:szCs w:val="32"/>
          <w:lang w:val="en-US" w:eastAsia="zh-CN"/>
        </w:rPr>
      </w:pPr>
    </w:p>
    <w:p>
      <w:pPr>
        <w:pStyle w:val="3"/>
        <w:wordWrap/>
        <w:adjustRightInd/>
        <w:spacing w:line="240" w:lineRule="auto"/>
        <w:rPr>
          <w:rFonts w:hint="eastAsia" w:ascii="仿宋_GB2312" w:hAnsi="仿宋_GB2312" w:eastAsia="仿宋_GB2312" w:cs="仿宋_GB2312"/>
          <w:sz w:val="32"/>
          <w:szCs w:val="32"/>
          <w:lang w:val="en-US" w:eastAsia="zh-CN"/>
        </w:rPr>
      </w:pPr>
    </w:p>
    <w:p>
      <w:pPr>
        <w:wordWrap/>
        <w:adjustRightInd/>
        <w:spacing w:line="240" w:lineRule="auto"/>
        <w:rPr>
          <w:rFonts w:hint="eastAsia" w:ascii="仿宋_GB2312" w:hAnsi="仿宋_GB2312" w:eastAsia="仿宋_GB2312" w:cs="仿宋_GB2312"/>
          <w:sz w:val="32"/>
          <w:szCs w:val="32"/>
          <w:lang w:val="en-US" w:eastAsia="zh-CN"/>
        </w:rPr>
      </w:pPr>
    </w:p>
    <w:p>
      <w:pPr>
        <w:pStyle w:val="2"/>
        <w:wordWrap/>
        <w:adjustRightInd/>
        <w:spacing w:line="240" w:lineRule="auto"/>
        <w:rPr>
          <w:rFonts w:hint="eastAsia" w:ascii="仿宋_GB2312" w:hAnsi="仿宋_GB2312" w:eastAsia="仿宋_GB2312" w:cs="仿宋_GB2312"/>
          <w:sz w:val="32"/>
          <w:szCs w:val="32"/>
          <w:lang w:val="en-US" w:eastAsia="zh-CN"/>
        </w:rPr>
      </w:pPr>
    </w:p>
    <w:p>
      <w:pPr>
        <w:pStyle w:val="3"/>
        <w:wordWrap/>
        <w:adjustRightInd/>
        <w:spacing w:line="240" w:lineRule="auto"/>
        <w:rPr>
          <w:rFonts w:hint="eastAsia" w:ascii="仿宋_GB2312" w:hAnsi="仿宋_GB2312" w:eastAsia="仿宋_GB2312" w:cs="仿宋_GB2312"/>
          <w:sz w:val="32"/>
          <w:szCs w:val="32"/>
          <w:lang w:val="en-US" w:eastAsia="zh-CN"/>
        </w:rPr>
      </w:pPr>
    </w:p>
    <w:p>
      <w:pPr>
        <w:wordWrap/>
        <w:adjustRightInd/>
        <w:spacing w:line="240" w:lineRule="auto"/>
        <w:rPr>
          <w:rFonts w:hint="eastAsia" w:ascii="仿宋_GB2312" w:hAnsi="仿宋_GB2312" w:eastAsia="仿宋_GB2312" w:cs="仿宋_GB2312"/>
          <w:sz w:val="32"/>
          <w:szCs w:val="32"/>
          <w:lang w:val="en-US" w:eastAsia="zh-CN"/>
        </w:rPr>
      </w:pPr>
    </w:p>
    <w:p>
      <w:pPr>
        <w:pStyle w:val="2"/>
        <w:wordWrap/>
        <w:adjustRightInd/>
        <w:spacing w:line="240" w:lineRule="auto"/>
        <w:rPr>
          <w:rFonts w:hint="eastAsia" w:ascii="仿宋_GB2312" w:hAnsi="仿宋_GB2312" w:eastAsia="仿宋_GB2312" w:cs="仿宋_GB2312"/>
          <w:sz w:val="32"/>
          <w:szCs w:val="32"/>
          <w:lang w:val="en-US" w:eastAsia="zh-CN"/>
        </w:rPr>
      </w:pPr>
    </w:p>
    <w:p>
      <w:pPr>
        <w:pStyle w:val="3"/>
        <w:wordWrap/>
        <w:adjustRightInd/>
        <w:spacing w:line="240" w:lineRule="auto"/>
        <w:rPr>
          <w:rFonts w:hint="eastAsia" w:ascii="仿宋_GB2312" w:hAnsi="仿宋_GB2312" w:eastAsia="仿宋_GB2312" w:cs="仿宋_GB2312"/>
          <w:sz w:val="32"/>
          <w:szCs w:val="32"/>
          <w:lang w:val="en-US" w:eastAsia="zh-CN"/>
        </w:rPr>
      </w:pPr>
    </w:p>
    <w:p>
      <w:pPr>
        <w:wordWrap/>
        <w:adjustRightInd/>
        <w:spacing w:line="240" w:lineRule="auto"/>
        <w:rPr>
          <w:rFonts w:hint="eastAsia" w:ascii="仿宋_GB2312" w:hAnsi="仿宋_GB2312" w:eastAsia="仿宋_GB2312" w:cs="仿宋_GB2312"/>
          <w:sz w:val="32"/>
          <w:szCs w:val="32"/>
          <w:lang w:val="en-US" w:eastAsia="zh-CN"/>
        </w:rPr>
      </w:pPr>
    </w:p>
    <w:p>
      <w:pPr>
        <w:pStyle w:val="2"/>
        <w:wordWrap/>
        <w:adjustRightInd/>
        <w:spacing w:line="240" w:lineRule="auto"/>
        <w:rPr>
          <w:rFonts w:hint="eastAsia" w:ascii="仿宋_GB2312" w:hAnsi="仿宋_GB2312" w:eastAsia="仿宋_GB2312" w:cs="仿宋_GB2312"/>
          <w:sz w:val="32"/>
          <w:szCs w:val="32"/>
          <w:lang w:val="en-US" w:eastAsia="zh-CN"/>
        </w:rPr>
      </w:pPr>
    </w:p>
    <w:p>
      <w:pPr>
        <w:pStyle w:val="2"/>
        <w:wordWrap/>
        <w:adjustRightInd/>
        <w:spacing w:line="240" w:lineRule="auto"/>
        <w:rPr>
          <w:rFonts w:hint="eastAsia" w:ascii="仿宋_GB2312" w:hAnsi="仿宋_GB2312" w:eastAsia="仿宋_GB2312" w:cs="仿宋_GB2312"/>
          <w:sz w:val="32"/>
          <w:szCs w:val="32"/>
          <w:lang w:val="en-US" w:eastAsia="zh-CN"/>
        </w:rPr>
      </w:pPr>
    </w:p>
    <w:p>
      <w:pPr>
        <w:pStyle w:val="3"/>
        <w:widowControl w:val="0"/>
        <w:wordWrap/>
        <w:adjustRightInd/>
        <w:snapToGrid w:val="0"/>
        <w:spacing w:line="240" w:lineRule="auto"/>
        <w:ind w:left="0" w:leftChars="0" w:firstLine="0" w:firstLineChars="0"/>
        <w:jc w:val="center"/>
        <w:textAlignment w:val="baseline"/>
        <w:rPr>
          <w:rFonts w:hint="eastAsia" w:ascii="方正小标宋简体" w:hAnsi="方正小标宋简体" w:eastAsia="方正小标宋简体" w:cs="方正小标宋简体"/>
          <w:sz w:val="44"/>
          <w:szCs w:val="44"/>
          <w:lang w:val="en-US" w:eastAsia="zh-CN"/>
        </w:rPr>
        <w:sectPr>
          <w:footerReference r:id="rId6" w:type="default"/>
          <w:pgSz w:w="11906" w:h="16838"/>
          <w:pgMar w:top="2098" w:right="1474" w:bottom="1984" w:left="1587" w:header="851" w:footer="992" w:gutter="0"/>
          <w:pgNumType w:fmt="decimal" w:start="1"/>
          <w:cols w:space="720" w:num="1"/>
          <w:docGrid w:type="lines" w:linePitch="312" w:charSpace="0"/>
        </w:sect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880" w:firstLineChars="200"/>
        <w:jc w:val="both"/>
        <w:textAlignment w:val="baseline"/>
        <w:rPr>
          <w:rFonts w:hint="eastAsia" w:ascii="方正小标宋简体" w:hAnsi="方正小标宋简体" w:eastAsia="方正小标宋简体" w:cs="方正小标宋简体"/>
          <w:sz w:val="44"/>
          <w:szCs w:val="44"/>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880" w:firstLineChars="200"/>
        <w:jc w:val="both"/>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城建集中供热项目绩效评价报告摘要</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2"/>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一、项目资金投入及支出情况</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本项目的用地符合《德惠市城市总体规划(2016-2035 年)》和《德惠市供热专项规划(2016-2035)》的相关要 求。本项目热源厂建设工程实施后热水锅炉总容量将达到 364MW, 锅炉效率将达到84%以上，实际排放浓度优于国家 允许排放浓度。项目的建设符合国家节能减排的政策，符合 城区总体规划，能够经济、有效地满足近、远期供热负荷的 迫切需求；并有利于长期发展，对我市节能减排、改善大气 质量发挥较大的作用。本项目总投资67,237.81万元，资金来源包括发行专项 债券、银行贷款和企业自筹资金。</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二、评价结论</w:t>
      </w:r>
    </w:p>
    <w:p>
      <w:pPr>
        <w:spacing w:before="164" w:line="342" w:lineRule="auto"/>
        <w:ind w:left="4" w:right="81" w:firstLine="640" w:firstLineChars="200"/>
        <w:jc w:val="both"/>
        <w:rPr>
          <w:rFonts w:hint="eastAsia"/>
          <w:lang w:val="en-US" w:eastAsia="zh-CN"/>
        </w:rPr>
      </w:pPr>
      <w:r>
        <w:rPr>
          <w:rFonts w:hint="eastAsia" w:ascii="仿宋_GB2312" w:hAnsi="仿宋_GB2312" w:eastAsia="仿宋_GB2312" w:cs="仿宋_GB2312"/>
          <w:sz w:val="32"/>
          <w:szCs w:val="32"/>
          <w:highlight w:val="none"/>
          <w:lang w:val="en-US" w:eastAsia="zh-CN"/>
        </w:rPr>
        <w:t>本着实事求是的原则，按照既定的评价指标和评价方 法，从决策、管理、产出、效益四方面对“德惠市成建集中 供热项目”进行绩效评价，最终确定绩效评价评价得分79 分，等级为“中”。总体来看，德惠市成建集中供热项目发行债券专项资金 实施计划制定前调研充分，决策程序规范，项目目标明确。助力积极财政政策，发挥稳投资及稳增长作用。在当前经济面临下行压力、实体经济运行困难等背景下，通过发行债券专项资金，能够更大程度地加强地方政府公共基础设施建设，补齐地方经济建设发展短板，促进地方财政金融与政府税收的稳步增长。截至2025年12月31日，项目主体结构基本建设完成，部分辅助工程施工尚未完工，项目总体形象进度为80%,具体情况为主厂房完成94%;办公楼全部完成；干煤棚完成96%;综合泵房完成97%;烟囱完成100%;供热管网：全部完成共24.03km。 场外外接电力工程，已完成并经电业局验收合格。场外配套管线(供水、排水、中水工程)已全部施工完成。</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三、存在问题及原因</w:t>
      </w:r>
    </w:p>
    <w:p>
      <w:pPr>
        <w:spacing w:before="164" w:line="342" w:lineRule="auto"/>
        <w:ind w:left="4" w:right="81"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如上述项目立项部分，项目立项依据充分性、程序规范。 前期工作准备较充分、工作开展规范。但项目自2022年11  月1日批复立项以来，分别在2022年11月3日批复可行性 研究报告、2023年5月8日批复调整可行性研究报告、一直 到2025年8月12日最终批复再次调整可行性研究报告，历 时近3年，期间已经办理完施工许可证等并开始项目施工， 前期准备工作不充分。</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四、有关建议</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建议项目单位针对成果文件，成立论证小组，对第三 方出具的文件进行科学性、合理性、经济性论证。特别是对 项目有指导性意义的文件，如实施方案和融资与自求平衡方案中的建设规模、建设内容、总投资、借款金额和借款年限等。</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lang w:val="en-US" w:eastAsia="zh-CN"/>
        </w:rPr>
        <w:sectPr>
          <w:footerReference r:id="rId7" w:type="default"/>
          <w:pgSz w:w="11900" w:h="16830"/>
          <w:pgMar w:top="1430" w:right="1785" w:bottom="1327" w:left="1785" w:header="0" w:footer="1146" w:gutter="0"/>
          <w:pgNumType w:fmt="numberInDash" w:start="1"/>
          <w:cols w:space="720" w:num="1"/>
        </w:sectPr>
      </w:pPr>
      <w:r>
        <w:rPr>
          <w:rFonts w:hint="eastAsia" w:ascii="仿宋_GB2312" w:hAnsi="仿宋_GB2312" w:eastAsia="仿宋_GB2312" w:cs="仿宋_GB2312"/>
          <w:sz w:val="32"/>
          <w:szCs w:val="32"/>
          <w:highlight w:val="none"/>
        </w:rPr>
        <w:t>2. 建议项目单位加强绩效相关工作的管理，从事前的绩 效评估、目标表的填报、项目的事中监控、到各个阶段的自 评，应设置专职岗位专职人员，跟进各项工作内容的进度， 做到绩效有评价，评价有结果，结果有应用，应该有反馈， 反馈有效果，真正发挥绩效评价各个环节的重要作用。</w:t>
      </w: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baseline"/>
        <w:rPr>
          <w:rFonts w:hint="eastAsia" w:ascii="方正小标宋简体" w:hAnsi="方正小标宋简体" w:eastAsia="方正小标宋简体" w:cs="方正小标宋简体"/>
          <w:sz w:val="44"/>
          <w:szCs w:val="44"/>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德惠市教育局高中生均</w:t>
      </w: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公用经费项目绩效评价报告摘要</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640" w:firstLineChars="200"/>
        <w:jc w:val="both"/>
        <w:textAlignment w:val="baseline"/>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一、项目资金投入及支出情况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5年，德惠市教育局高中教育生均公用经费地方配套资金项目资金预算额度814万元，截止2025年12月31日，实际拨付资金732.18万元，项目执行率为89.95%。</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二、评价结论</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该项目综合得分98分，绩效评价结果为“优”。主要绩效有：生均公用经费不低于省定标准，本级资金占比为55%，提高教育教学水平，教师、学生满意度≥90</w:t>
      </w:r>
      <w:r>
        <w:rPr>
          <w:rFonts w:hint="eastAsia" w:ascii="仿宋_GB2312" w:hAnsi="仿宋_GB2312" w:eastAsia="仿宋_GB2312" w:cs="仿宋_GB2312"/>
          <w:sz w:val="32"/>
          <w:szCs w:val="32"/>
          <w:highlight w:val="none"/>
          <w:lang w:val="en-US" w:eastAsia="zh-CN"/>
        </w:rPr>
        <w:tab/>
      </w:r>
      <w:r>
        <w:rPr>
          <w:rFonts w:hint="eastAsia" w:ascii="仿宋_GB2312" w:hAnsi="仿宋_GB2312" w:eastAsia="仿宋_GB2312" w:cs="仿宋_GB2312"/>
          <w:sz w:val="32"/>
          <w:szCs w:val="32"/>
          <w:highlight w:val="none"/>
          <w:lang w:val="en-US" w:eastAsia="zh-CN"/>
        </w:rPr>
        <w:t>%，达到预期目标。</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三、存在问题及原因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年度全市公办高中年初计划地方配套资金814万元，全年实际拨付资金732.18万元，项目执行率为89.95%。基本满足学校开展教学活动的用款需求，尚有部分资金未能支付。问题产生的原因主要是地方财力有限，影响项目资金的支付时效。</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四、有关建议</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一是提前对接各公办高中梳理年度公用支出计划，结合年度资金预算额度，合理规划分季度拨付节奏，对教学实训、教师培训、校园维护等集中性刚需用款优先安排拨付。</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sectPr>
          <w:footerReference r:id="rId8" w:type="default"/>
          <w:pgSz w:w="11906" w:h="16838"/>
          <w:pgMar w:top="1440" w:right="1800" w:bottom="1440" w:left="1800" w:header="851" w:footer="992" w:gutter="0"/>
          <w:pgNumType w:fmt="numberInDash"/>
          <w:cols w:space="720" w:num="1"/>
          <w:docGrid w:type="lines" w:linePitch="312" w:charSpace="0"/>
        </w:sectPr>
      </w:pPr>
      <w:r>
        <w:rPr>
          <w:rFonts w:hint="eastAsia" w:ascii="仿宋_GB2312" w:hAnsi="仿宋_GB2312" w:eastAsia="仿宋_GB2312" w:cs="仿宋_GB2312"/>
          <w:sz w:val="32"/>
          <w:szCs w:val="32"/>
          <w:highlight w:val="none"/>
          <w:lang w:val="en-US" w:eastAsia="zh-CN"/>
        </w:rPr>
        <w:t>二是持续加强项目资金常态化监管，指导学校建立公用</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经费使用的预判计划，在严格落实专款专用要求的基础上，保障日常教育教学活动顺利开展。</w:t>
      </w:r>
    </w:p>
    <w:p>
      <w:pPr>
        <w:pStyle w:val="3"/>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lang w:val="en-US" w:eastAsia="zh-CN"/>
        </w:rPr>
      </w:pPr>
    </w:p>
    <w:p>
      <w:pPr>
        <w:pStyle w:val="3"/>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3"/>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2"/>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3"/>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2"/>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3"/>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2"/>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3"/>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2"/>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3"/>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2"/>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3"/>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rPr>
          <w:rFonts w:hint="eastAsia" w:ascii="仿宋_GB2312" w:hAnsi="仿宋_GB2312" w:eastAsia="仿宋_GB2312" w:cs="仿宋_GB2312"/>
          <w:sz w:val="32"/>
          <w:szCs w:val="32"/>
          <w:highlight w:val="none"/>
          <w:lang w:val="en-US" w:eastAsia="zh-CN"/>
        </w:rPr>
      </w:pPr>
    </w:p>
    <w:p>
      <w:pPr>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jc w:val="both"/>
        <w:rPr>
          <w:rFonts w:hint="eastAsia" w:ascii="仿宋_GB2312" w:hAnsi="仿宋_GB2312" w:eastAsia="仿宋_GB2312" w:cs="仿宋_GB2312"/>
          <w:sz w:val="32"/>
          <w:szCs w:val="32"/>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880" w:firstLineChars="20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德惠市教育局</w:t>
      </w: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880" w:firstLineChars="20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小学城乡义务教育生均公用经费</w:t>
      </w: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880" w:firstLineChars="20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地方配套资金项目绩效评价报告摘要</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一、项目资金投入及支出情况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202</w:t>
      </w:r>
      <w:r>
        <w:rPr>
          <w:rFonts w:hint="eastAsia" w:ascii="仿宋_GB2312" w:hAnsi="仿宋_GB2312" w:eastAsia="仿宋_GB2312" w:cs="仿宋_GB2312"/>
          <w:sz w:val="32"/>
          <w:szCs w:val="32"/>
          <w:highlight w:val="none"/>
          <w:lang w:val="en-US" w:eastAsia="zh-CN"/>
        </w:rPr>
        <w:t>5年，德惠市教育局小学城乡义务教育生均公用经费地方配套资金项目资金预算额度604万元，截止2025年12月31日，已按全部应拨付标准下达额度580.67万元，实际拨付资466.97万元，项目执行率为77.31%。</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二、评价结论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该项目综合得分96分，绩效评价结果为“优”。主要绩效有：生均公用经费不低于国家标准，财政资金占比为100%，促进教育稳定发展，学生、家长满意度≥90</w:t>
      </w:r>
      <w:r>
        <w:rPr>
          <w:rFonts w:hint="eastAsia" w:ascii="仿宋_GB2312" w:hAnsi="仿宋_GB2312" w:eastAsia="仿宋_GB2312" w:cs="仿宋_GB2312"/>
          <w:sz w:val="32"/>
          <w:szCs w:val="32"/>
          <w:highlight w:val="none"/>
          <w:lang w:val="en-US" w:eastAsia="zh-CN"/>
        </w:rPr>
        <w:tab/>
      </w:r>
      <w:r>
        <w:rPr>
          <w:rFonts w:hint="eastAsia" w:ascii="仿宋_GB2312" w:hAnsi="仿宋_GB2312" w:eastAsia="仿宋_GB2312" w:cs="仿宋_GB2312"/>
          <w:sz w:val="32"/>
          <w:szCs w:val="32"/>
          <w:highlight w:val="none"/>
          <w:lang w:val="en-US" w:eastAsia="zh-CN"/>
        </w:rPr>
        <w:t>%，目标已达成。</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三、存在问题及原因</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资金使用计划性不强，使用效益仍有提升空间。多数农村小规模学校受办学规模小、经费总量少、财务人员配备不足且多为教师兼职影响，缺乏提前统筹规划资金使用的意识和能力，难以集中资金解决校园设施升级、教学设备更新等重点办学需求，导致资金使用的整体效益未能充分发挥。</w:t>
      </w:r>
    </w:p>
    <w:p>
      <w:pPr>
        <w:keepNext w:val="0"/>
        <w:keepLines w:val="0"/>
        <w:pageBreakBefore w:val="0"/>
        <w:widowControl w:val="0"/>
        <w:kinsoku/>
        <w:wordWrap/>
        <w:overflowPunct/>
        <w:topLinePunct w:val="0"/>
        <w:autoSpaceDE/>
        <w:autoSpaceDN/>
        <w:bidi w:val="0"/>
        <w:adjustRightInd/>
        <w:spacing w:line="560" w:lineRule="exact"/>
        <w:ind w:firstLine="640" w:firstLineChars="200"/>
        <w:jc w:val="both"/>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四、有关建议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针对部分农村小规模学校资金使用计划性不足、效益有待提升的问题，建议进一步强化对学校公用经费使用的指导，要求学校结合本校年度办学重点需求科学编制公用经费使用计划，明确资金使用的方向和优先级，引导学校集中资金解决办学中的核心问题，同时组织开展针对农村学校财务人员的公用经费管理业务培训，提升学校预算编制和资金统筹使用的能力，进一步提高资金使用效益。</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880" w:firstLineChars="200"/>
        <w:jc w:val="both"/>
        <w:textAlignment w:val="baseline"/>
        <w:rPr>
          <w:rFonts w:hint="eastAsia" w:ascii="方正小标宋简体" w:hAnsi="方正小标宋简体" w:eastAsia="方正小标宋简体" w:cs="方正小标宋简体"/>
          <w:sz w:val="44"/>
          <w:szCs w:val="44"/>
          <w:highlight w:val="yellow"/>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baseline"/>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lang w:val="en-US" w:eastAsia="zh-CN"/>
        </w:rPr>
        <w:t>社工岗人员工资及社保缴费</w:t>
      </w: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baseline"/>
        <w:rPr>
          <w:rFonts w:hint="eastAsia" w:ascii="方正小标宋简体" w:hAnsi="方正小标宋简体" w:eastAsia="方正小标宋简体" w:cs="方正小标宋简体"/>
          <w:color w:val="000000"/>
          <w:sz w:val="44"/>
          <w:szCs w:val="44"/>
          <w:highlight w:val="none"/>
          <w:lang w:val="en-US" w:eastAsia="zh-CN"/>
        </w:rPr>
      </w:pPr>
      <w:r>
        <w:rPr>
          <w:rFonts w:hint="eastAsia" w:ascii="方正小标宋简体" w:hAnsi="方正小标宋简体" w:eastAsia="方正小标宋简体" w:cs="方正小标宋简体"/>
          <w:color w:val="000000"/>
          <w:sz w:val="44"/>
          <w:szCs w:val="44"/>
          <w:highlight w:val="none"/>
          <w:lang w:val="en-US" w:eastAsia="zh-CN"/>
        </w:rPr>
        <w:t>绩效评价报告摘要</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一、项目资金投入及支出情况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2025年，2025年1-12月社工岗人员工资及社保缴费全</w:t>
      </w:r>
      <w:bookmarkStart w:id="0" w:name="_GoBack"/>
      <w:bookmarkEnd w:id="0"/>
      <w:r>
        <w:rPr>
          <w:rFonts w:hint="eastAsia" w:ascii="仿宋_GB2312" w:hAnsi="仿宋_GB2312" w:eastAsia="仿宋_GB2312" w:cs="仿宋_GB2312"/>
          <w:sz w:val="32"/>
          <w:szCs w:val="32"/>
          <w:highlight w:val="none"/>
          <w:lang w:val="en-US" w:eastAsia="zh-CN"/>
        </w:rPr>
        <w:t>年预算数83万元。截至2025年12月31日，资金支出83万元，执行率为100%。</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该项目综合得分100分，绩效评价结果为“优”。主要绩效有：下辖8个社区，社工岗人员工资财政拨款数额83万元，实际完成率100%；实际支付时效均按实际情况要求及时支付，相关工作质量、街道及社区相关工作产生的社会影响力有显著提升、受益人群满意度大于99%.。</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三、存在问题及原因</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项目在实施过程中的各种痕迹资料未归档整理，装订成册。    </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四、有关建议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是强化绩效目标管理。绩效目标是绩效监控和绩效跟踪的依据，是全过程预算绩效管理的基础和起点。建议在编制预算时结合部门职责、中长期规划编制可考核的量化和细化绩效指标；每年对制度的绩效目标进行评价，重点评价绩效目标与部门职责职能的相关性，绩效目标设置的科学性、实现绩效目标所采取措施的可行性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是加强绩效过程管理。预算执行过程中，要完善绩效目标跟踪监控机制，定期采集和分析绩效运行信息，及时掌握绩效目标实现情况和预期效果，发现预算支出绩效运行与原定绩效目标发生偏离时，及时采取措施予以纠正。</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三是加强项目资料的归档工作，使项目资料整理装订成册便于管理。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baseline"/>
        <w:rPr>
          <w:rFonts w:hint="eastAsia" w:ascii="方正小标宋简体" w:hAnsi="方正小标宋简体" w:eastAsia="方正小标宋简体" w:cs="方正小标宋简体"/>
          <w:sz w:val="44"/>
          <w:szCs w:val="44"/>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both"/>
        <w:textAlignment w:val="baseline"/>
        <w:rPr>
          <w:rFonts w:hint="eastAsia" w:ascii="方正小标宋简体" w:hAnsi="方正小标宋简体" w:eastAsia="方正小标宋简体" w:cs="方正小标宋简体"/>
          <w:sz w:val="44"/>
          <w:szCs w:val="44"/>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农村环卫外包服务费绩效评价报告摘要</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一、项目资金投入及支出情况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2025年农村环卫外包服务费全年预算6692.6415万元。截至2025年12月31日，资金支出5593.66万元，其中财政本级拨款4717.66万元，专项拨款876万元，执行率为83.58%。</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二、评价结论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该项目综合得分97分，绩效评价结果为“优”。主要绩效有：农村垃圾及时清理，做到“日产日清”垃圾不外溢，确保环境优美，村容整洁有效解决垃圾“围村”环境“脏乱差”的问题。群众满意度为≥90%，目标已达成。</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三、存在问题及原因</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财政资金拨付不固定， 企业资金压力较大。</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四、有关建议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是完善绩效目标管理，提升科学性。进一步细化年度绩效指标，优化产出，质量时效效益类量化指标，结合辖区保洁面积，作业到位，垃圾清运，应急保障等实际工作内容，设定可对比，可量化的绩效指标。确保绩效目标与实际工作高度匹配，提升绩效管理精准度。</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二、严格预算执行管理，明确资金拨付时间。强化预算进行度管控，明确资金拨付的时间，缓解企业资金压力。切实提升财政资金使用的精准性，有效性。</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sz w:val="32"/>
          <w:szCs w:val="32"/>
          <w:highlight w:val="none"/>
          <w:lang w:val="en-US" w:eastAsia="zh-CN"/>
        </w:rPr>
      </w:pP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机关事业单位退休人员取暖费项目</w:t>
      </w:r>
    </w:p>
    <w:p>
      <w:pPr>
        <w:pStyle w:val="3"/>
        <w:keepNext w:val="0"/>
        <w:keepLines w:val="0"/>
        <w:pageBreakBefore w:val="0"/>
        <w:widowControl w:val="0"/>
        <w:kinsoku/>
        <w:wordWrap/>
        <w:overflowPunct/>
        <w:topLinePunct w:val="0"/>
        <w:autoSpaceDE/>
        <w:autoSpaceDN/>
        <w:bidi w:val="0"/>
        <w:adjustRightInd/>
        <w:snapToGrid w:val="0"/>
        <w:spacing w:line="560" w:lineRule="exact"/>
        <w:ind w:left="0" w:leftChars="0" w:firstLine="0" w:firstLineChars="0"/>
        <w:jc w:val="center"/>
        <w:textAlignment w:val="baseline"/>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绩效评价报告摘要</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仿宋_GB2312" w:hAnsi="仿宋_GB2312" w:eastAsia="仿宋_GB2312" w:cs="仿宋_GB2312"/>
          <w:sz w:val="32"/>
          <w:szCs w:val="32"/>
          <w:highlight w:val="none"/>
          <w:lang w:val="en-US" w:eastAsia="zh-CN"/>
        </w:rPr>
      </w:pP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一、项目资金投入及支出情况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2025年，德惠市社会保险事业管理局机关事业单位退休人员取暖费项目资金预算额度50.74万元，截止2025年12月31日，实际拨付资金50.74万元，项目执行率为100%。</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二、评价结论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该项目综合得分100分，绩效评价结果为“优”。主要绩效有：严格按照政策标准完成取暖费发放，完成全市11800名符合条件退休人员取暖费发放，人均发放标准43元，资金足额拨付至退休人员个人账户，无截留、挤占、挪用情况；工作效率不低于85%，服务对象满意度≥90%，达到预期目标。</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三、存在问题及原因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本年度机关事业单位退休人员取暖费项目预算资金50.74万元，全年实际拨付资金50.74万元，项目执行率为100%，足额完成符合条件退休人员取暖费发放，保障退休人员合法权益。暂未发现资金滞留、未支付等问题。</w:t>
      </w:r>
    </w:p>
    <w:p>
      <w:pPr>
        <w:keepNext w:val="0"/>
        <w:keepLines w:val="0"/>
        <w:pageBreakBefore w:val="0"/>
        <w:kinsoku/>
        <w:wordWrap/>
        <w:overflowPunct/>
        <w:topLinePunct w:val="0"/>
        <w:autoSpaceDE/>
        <w:autoSpaceDN/>
        <w:bidi w:val="0"/>
        <w:adjustRightInd/>
        <w:spacing w:line="560" w:lineRule="exact"/>
        <w:ind w:firstLine="640" w:firstLineChars="20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四、有关建议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一是提前对接各相关单位梳理核实退休人员信息，做好发放对象信息核对工作，结合年度资金预算额度，合理规划资金拨付节奏，确保取暖费按时足额发放到位。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二是持续加强项目资金常态化监管，完善绩效指标体系，落实信息核对、风险防控等管控措施，在严格落实专款专用要求的基础上，保障退休人员相关待遇落实到位，维护社会和谐稳定。</w:t>
      </w:r>
    </w:p>
    <w:p>
      <w:pPr>
        <w:keepNext w:val="0"/>
        <w:keepLines w:val="0"/>
        <w:pageBreakBefore w:val="0"/>
        <w:kinsoku/>
        <w:wordWrap/>
        <w:overflowPunct/>
        <w:topLinePunct w:val="0"/>
        <w:autoSpaceDE/>
        <w:autoSpaceDN/>
        <w:bidi w:val="0"/>
        <w:adjustRightInd/>
        <w:spacing w:line="560" w:lineRule="exact"/>
        <w:ind w:firstLine="640" w:firstLineChars="200"/>
        <w:jc w:val="both"/>
        <w:rPr>
          <w:rFonts w:hint="eastAsia" w:ascii="仿宋_GB2312" w:hAnsi="仿宋_GB2312" w:eastAsia="仿宋_GB2312" w:cs="仿宋_GB2312"/>
          <w:sz w:val="32"/>
          <w:szCs w:val="32"/>
          <w:highlight w:val="none"/>
          <w:lang w:val="en-US" w:eastAsia="zh-CN"/>
        </w:rPr>
      </w:pPr>
    </w:p>
    <w:p/>
    <w:sectPr>
      <w:footerReference r:id="rId9" w:type="default"/>
      <w:pgSz w:w="11906" w:h="16838"/>
      <w:pgMar w:top="1440" w:right="1800" w:bottom="1440" w:left="1800" w:header="851" w:footer="992" w:gutter="0"/>
      <w:pgNumType w:fmt="numberInDash"/>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00"/>
    <w:family w:val="auto"/>
    <w:pitch w:val="default"/>
    <w:sig w:usb0="00000000" w:usb1="00000000" w:usb2="00000000" w:usb3="00000000" w:csb0="00000000"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7" w:lineRule="auto"/>
      <w:rPr>
        <w:rFonts w:ascii="Times New Roman" w:hAnsi="Times New Roman" w:eastAsia="Times New Roman" w:cs="Times New Roman"/>
        <w:sz w:val="20"/>
        <w:szCs w:val="20"/>
      </w:rPr>
    </w:pPr>
    <w:r>
      <w:rPr>
        <w:sz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pPr>
                      <w:pStyle w:val="4"/>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6923A3"/>
    <w:rsid w:val="0552381A"/>
    <w:rsid w:val="30FD4438"/>
    <w:rsid w:val="45577310"/>
    <w:rsid w:val="737E32EA"/>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spacing w:after="0" w:line="240" w:lineRule="auto"/>
    </w:pPr>
    <w:rPr>
      <w:rFonts w:ascii="Calibri" w:hAnsi="Calibri" w:eastAsia="Calibri" w:cs="黑体"/>
      <w:sz w:val="22"/>
      <w:szCs w:val="22"/>
      <w:lang w:val="en-US" w:eastAsia="en-US" w:bidi="ar-SA"/>
    </w:rPr>
  </w:style>
  <w:style w:type="character" w:default="1" w:styleId="8">
    <w:name w:val="Default Paragraph Font"/>
    <w:semiHidden/>
    <w:qFormat/>
    <w:uiPriority w:val="0"/>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UserStyle_0"/>
    <w:next w:val="3"/>
    <w:qFormat/>
    <w:uiPriority w:val="0"/>
    <w:pPr>
      <w:textAlignment w:val="baseline"/>
    </w:pPr>
    <w:rPr>
      <w:rFonts w:ascii="黑体" w:hAnsi="Times New Roman" w:eastAsia="黑体" w:cs="Times New Roman"/>
      <w:color w:val="000000"/>
      <w:sz w:val="24"/>
      <w:szCs w:val="24"/>
      <w:lang w:val="en-US" w:eastAsia="zh-CN" w:bidi="ar-SA"/>
    </w:rPr>
  </w:style>
  <w:style w:type="paragraph" w:customStyle="1" w:styleId="3">
    <w:name w:val="Index5"/>
    <w:basedOn w:val="1"/>
    <w:next w:val="1"/>
    <w:qFormat/>
    <w:uiPriority w:val="0"/>
    <w:pPr>
      <w:snapToGrid w:val="0"/>
      <w:spacing w:line="360" w:lineRule="auto"/>
      <w:ind w:firstLine="640" w:firstLineChars="200"/>
      <w:jc w:val="both"/>
      <w:textAlignment w:val="baseline"/>
    </w:pPr>
    <w:rPr>
      <w:rFonts w:ascii="黑体" w:hAnsi="黑体" w:eastAsia="黑体" w:cs="仿宋_GB2312"/>
      <w:bCs/>
      <w:kern w:val="0"/>
      <w:sz w:val="32"/>
      <w:szCs w:val="32"/>
      <w:lang w:val="en-US" w:eastAsia="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2024-08-16T06:40:00Z</dcterms:created>
  <dc:creator>lenovo</dc:creator>
  <cp:lastModifiedBy>DELL</cp:lastModifiedBy>
  <dcterms:modified xsi:type="dcterms:W3CDTF">2026-09-23T08:43:43Z</dcterms:modified>
  <dc:title>德惠市2024年预算绩效管理工作开展情况</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9327DAA4C2FF43C7A1D8782C001890BF</vt:lpwstr>
  </property>
</Properties>
</file>