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564A0">
      <w:pPr>
        <w:spacing w:before="180" w:line="219" w:lineRule="auto"/>
        <w:ind w:left="4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6"/>
          <w:sz w:val="28"/>
          <w:szCs w:val="28"/>
          <w:lang w:eastAsia="zh-CN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lang w:eastAsia="zh-CN"/>
        </w:rPr>
        <w:t>1：</w:t>
      </w:r>
    </w:p>
    <w:p w14:paraId="4BA50756">
      <w:pPr>
        <w:pStyle w:val="2"/>
        <w:spacing w:line="251" w:lineRule="auto"/>
        <w:rPr>
          <w:lang w:eastAsia="zh-CN"/>
        </w:rPr>
      </w:pPr>
    </w:p>
    <w:p w14:paraId="35E864B4">
      <w:pPr>
        <w:pStyle w:val="2"/>
        <w:spacing w:line="251" w:lineRule="auto"/>
        <w:rPr>
          <w:lang w:eastAsia="zh-CN"/>
        </w:rPr>
      </w:pPr>
    </w:p>
    <w:p w14:paraId="3A2C0A7C">
      <w:pPr>
        <w:pStyle w:val="2"/>
        <w:spacing w:line="252" w:lineRule="auto"/>
        <w:rPr>
          <w:lang w:eastAsia="zh-CN"/>
        </w:rPr>
      </w:pPr>
    </w:p>
    <w:p w14:paraId="16DA73C0">
      <w:pPr>
        <w:pStyle w:val="2"/>
        <w:spacing w:line="252" w:lineRule="auto"/>
        <w:rPr>
          <w:lang w:eastAsia="zh-CN"/>
        </w:rPr>
      </w:pPr>
    </w:p>
    <w:p w14:paraId="48C1F94E">
      <w:pPr>
        <w:pStyle w:val="2"/>
        <w:spacing w:line="252" w:lineRule="auto"/>
        <w:rPr>
          <w:lang w:eastAsia="zh-CN"/>
        </w:rPr>
      </w:pPr>
    </w:p>
    <w:p w14:paraId="2E91042D">
      <w:pPr>
        <w:pStyle w:val="2"/>
        <w:spacing w:line="252" w:lineRule="auto"/>
        <w:rPr>
          <w:lang w:eastAsia="zh-CN"/>
        </w:rPr>
      </w:pPr>
    </w:p>
    <w:p w14:paraId="6D1D52EF">
      <w:pPr>
        <w:pStyle w:val="2"/>
        <w:spacing w:line="252" w:lineRule="auto"/>
        <w:rPr>
          <w:lang w:eastAsia="zh-CN"/>
        </w:rPr>
      </w:pPr>
    </w:p>
    <w:p w14:paraId="01DCAF26">
      <w:pPr>
        <w:pStyle w:val="2"/>
        <w:spacing w:line="252" w:lineRule="auto"/>
        <w:rPr>
          <w:lang w:eastAsia="zh-CN"/>
        </w:rPr>
      </w:pPr>
    </w:p>
    <w:p w14:paraId="196CFCC7">
      <w:pPr>
        <w:pStyle w:val="2"/>
        <w:spacing w:line="252" w:lineRule="auto"/>
        <w:rPr>
          <w:lang w:eastAsia="zh-CN"/>
        </w:rPr>
      </w:pPr>
    </w:p>
    <w:p w14:paraId="39D22455">
      <w:pPr>
        <w:pStyle w:val="2"/>
        <w:spacing w:line="252" w:lineRule="auto"/>
        <w:rPr>
          <w:lang w:eastAsia="zh-CN"/>
        </w:rPr>
      </w:pPr>
    </w:p>
    <w:p w14:paraId="6071455B">
      <w:pPr>
        <w:pStyle w:val="2"/>
        <w:spacing w:line="252" w:lineRule="auto"/>
        <w:rPr>
          <w:lang w:eastAsia="zh-CN"/>
        </w:rPr>
      </w:pPr>
    </w:p>
    <w:p w14:paraId="611E134F">
      <w:pPr>
        <w:pStyle w:val="2"/>
        <w:spacing w:line="252" w:lineRule="auto"/>
        <w:rPr>
          <w:lang w:eastAsia="zh-CN"/>
        </w:rPr>
      </w:pPr>
    </w:p>
    <w:p w14:paraId="6ABE1C24">
      <w:pPr>
        <w:pStyle w:val="2"/>
        <w:spacing w:line="252" w:lineRule="auto"/>
        <w:rPr>
          <w:lang w:eastAsia="zh-CN"/>
        </w:rPr>
      </w:pPr>
    </w:p>
    <w:p w14:paraId="5983FB71">
      <w:pPr>
        <w:spacing w:before="180" w:line="187" w:lineRule="auto"/>
        <w:ind w:left="3255"/>
        <w:rPr>
          <w:rFonts w:ascii="微软雅黑" w:hAnsi="微软雅黑" w:eastAsia="微软雅黑" w:cs="微软雅黑"/>
          <w:sz w:val="42"/>
          <w:szCs w:val="42"/>
          <w:lang w:eastAsia="zh-CN"/>
        </w:rPr>
      </w:pPr>
      <w:r>
        <w:rPr>
          <w:rFonts w:ascii="宋体" w:hAnsi="宋体" w:eastAsia="宋体" w:cs="宋体"/>
          <w:spacing w:val="4"/>
          <w:sz w:val="43"/>
          <w:szCs w:val="43"/>
          <w:lang w:eastAsia="zh-CN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4"/>
          <w:sz w:val="42"/>
          <w:szCs w:val="42"/>
          <w:lang w:eastAsia="zh-CN"/>
        </w:rPr>
        <w:t>年度</w:t>
      </w:r>
    </w:p>
    <w:p w14:paraId="309CD8C0">
      <w:pPr>
        <w:pStyle w:val="2"/>
        <w:spacing w:line="477" w:lineRule="auto"/>
        <w:rPr>
          <w:lang w:eastAsia="zh-CN"/>
        </w:rPr>
      </w:pPr>
    </w:p>
    <w:p w14:paraId="4DBA25FF">
      <w:pPr>
        <w:spacing w:before="189" w:line="181" w:lineRule="auto"/>
        <w:ind w:left="1099"/>
        <w:rPr>
          <w:rFonts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pacing w:val="34"/>
          <w:sz w:val="44"/>
          <w:szCs w:val="44"/>
          <w:lang w:eastAsia="zh-CN"/>
        </w:rPr>
        <w:t>德惠市朝阳乡人民政府</w:t>
      </w:r>
      <w:r>
        <w:rPr>
          <w:rFonts w:ascii="微软雅黑" w:hAnsi="微软雅黑" w:eastAsia="微软雅黑" w:cs="微软雅黑"/>
          <w:spacing w:val="34"/>
          <w:sz w:val="44"/>
          <w:szCs w:val="44"/>
          <w:lang w:eastAsia="zh-CN"/>
        </w:rPr>
        <w:t>部门决算</w:t>
      </w:r>
    </w:p>
    <w:p w14:paraId="4E2EE9AD">
      <w:pPr>
        <w:pStyle w:val="2"/>
        <w:spacing w:line="242" w:lineRule="auto"/>
        <w:rPr>
          <w:lang w:eastAsia="zh-CN"/>
        </w:rPr>
      </w:pPr>
    </w:p>
    <w:p w14:paraId="41F19F0A">
      <w:pPr>
        <w:pStyle w:val="2"/>
        <w:spacing w:line="242" w:lineRule="auto"/>
        <w:rPr>
          <w:lang w:eastAsia="zh-CN"/>
        </w:rPr>
      </w:pPr>
    </w:p>
    <w:p w14:paraId="6C57C8D5">
      <w:pPr>
        <w:pStyle w:val="2"/>
        <w:spacing w:line="242" w:lineRule="auto"/>
        <w:rPr>
          <w:lang w:eastAsia="zh-CN"/>
        </w:rPr>
      </w:pPr>
    </w:p>
    <w:p w14:paraId="5771848F">
      <w:pPr>
        <w:pStyle w:val="2"/>
        <w:spacing w:line="242" w:lineRule="auto"/>
        <w:rPr>
          <w:lang w:eastAsia="zh-CN"/>
        </w:rPr>
      </w:pPr>
    </w:p>
    <w:p w14:paraId="697BC278">
      <w:pPr>
        <w:pStyle w:val="2"/>
        <w:spacing w:line="242" w:lineRule="auto"/>
        <w:rPr>
          <w:lang w:eastAsia="zh-CN"/>
        </w:rPr>
      </w:pPr>
    </w:p>
    <w:p w14:paraId="1866C2F9">
      <w:pPr>
        <w:pStyle w:val="2"/>
        <w:spacing w:line="242" w:lineRule="auto"/>
        <w:rPr>
          <w:lang w:eastAsia="zh-CN"/>
        </w:rPr>
      </w:pPr>
    </w:p>
    <w:p w14:paraId="7EBA536B">
      <w:pPr>
        <w:pStyle w:val="2"/>
        <w:spacing w:line="242" w:lineRule="auto"/>
        <w:rPr>
          <w:lang w:eastAsia="zh-CN"/>
        </w:rPr>
      </w:pPr>
    </w:p>
    <w:p w14:paraId="6B9640C8">
      <w:pPr>
        <w:pStyle w:val="2"/>
        <w:spacing w:line="242" w:lineRule="auto"/>
        <w:rPr>
          <w:lang w:eastAsia="zh-CN"/>
        </w:rPr>
      </w:pPr>
    </w:p>
    <w:p w14:paraId="51A74268">
      <w:pPr>
        <w:pStyle w:val="2"/>
        <w:spacing w:line="242" w:lineRule="auto"/>
        <w:rPr>
          <w:lang w:eastAsia="zh-CN"/>
        </w:rPr>
      </w:pPr>
    </w:p>
    <w:p w14:paraId="58D7FCF3">
      <w:pPr>
        <w:pStyle w:val="2"/>
        <w:spacing w:line="242" w:lineRule="auto"/>
        <w:rPr>
          <w:lang w:eastAsia="zh-CN"/>
        </w:rPr>
      </w:pPr>
    </w:p>
    <w:p w14:paraId="1F016B04">
      <w:pPr>
        <w:pStyle w:val="2"/>
        <w:spacing w:line="242" w:lineRule="auto"/>
        <w:rPr>
          <w:lang w:eastAsia="zh-CN"/>
        </w:rPr>
      </w:pPr>
    </w:p>
    <w:p w14:paraId="2D009CBD">
      <w:pPr>
        <w:pStyle w:val="2"/>
        <w:spacing w:line="243" w:lineRule="auto"/>
        <w:rPr>
          <w:lang w:eastAsia="zh-CN"/>
        </w:rPr>
      </w:pPr>
    </w:p>
    <w:p w14:paraId="2283EC32">
      <w:pPr>
        <w:pStyle w:val="2"/>
        <w:spacing w:line="243" w:lineRule="auto"/>
        <w:rPr>
          <w:lang w:eastAsia="zh-CN"/>
        </w:rPr>
      </w:pPr>
    </w:p>
    <w:p w14:paraId="3F3E9A3D">
      <w:pPr>
        <w:pStyle w:val="2"/>
        <w:spacing w:line="243" w:lineRule="auto"/>
        <w:rPr>
          <w:lang w:eastAsia="zh-CN"/>
        </w:rPr>
      </w:pPr>
    </w:p>
    <w:p w14:paraId="5832E422">
      <w:pPr>
        <w:pStyle w:val="2"/>
        <w:spacing w:line="243" w:lineRule="auto"/>
        <w:rPr>
          <w:lang w:eastAsia="zh-CN"/>
        </w:rPr>
      </w:pPr>
    </w:p>
    <w:p w14:paraId="0EB02D07">
      <w:pPr>
        <w:pStyle w:val="2"/>
        <w:spacing w:line="243" w:lineRule="auto"/>
        <w:rPr>
          <w:lang w:eastAsia="zh-CN"/>
        </w:rPr>
      </w:pPr>
    </w:p>
    <w:p w14:paraId="1D6BBB88">
      <w:pPr>
        <w:pStyle w:val="2"/>
        <w:spacing w:line="243" w:lineRule="auto"/>
        <w:rPr>
          <w:lang w:eastAsia="zh-CN"/>
        </w:rPr>
      </w:pPr>
    </w:p>
    <w:p w14:paraId="56CDCF0A">
      <w:pPr>
        <w:pStyle w:val="2"/>
        <w:spacing w:line="243" w:lineRule="auto"/>
        <w:rPr>
          <w:lang w:eastAsia="zh-CN"/>
        </w:rPr>
      </w:pPr>
    </w:p>
    <w:p w14:paraId="5231E952">
      <w:pPr>
        <w:pStyle w:val="2"/>
        <w:spacing w:line="243" w:lineRule="auto"/>
        <w:rPr>
          <w:lang w:eastAsia="zh-CN"/>
        </w:rPr>
      </w:pPr>
    </w:p>
    <w:p w14:paraId="25A31D28">
      <w:pPr>
        <w:pStyle w:val="2"/>
        <w:spacing w:line="243" w:lineRule="auto"/>
        <w:rPr>
          <w:lang w:eastAsia="zh-CN"/>
        </w:rPr>
      </w:pPr>
    </w:p>
    <w:p w14:paraId="77D24811">
      <w:pPr>
        <w:spacing w:before="101" w:line="224" w:lineRule="auto"/>
        <w:ind w:left="29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6"/>
          <w:sz w:val="31"/>
          <w:szCs w:val="31"/>
          <w:lang w:eastAsia="zh-CN"/>
        </w:rPr>
        <w:t>2024</w:t>
      </w:r>
      <w:r>
        <w:rPr>
          <w:rFonts w:ascii="宋体" w:hAnsi="宋体" w:eastAsia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年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23"/>
          <w:sz w:val="31"/>
          <w:szCs w:val="31"/>
          <w:lang w:eastAsia="zh-CN"/>
        </w:rPr>
        <w:t xml:space="preserve">9 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月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18</w:t>
      </w:r>
      <w:r>
        <w:rPr>
          <w:rFonts w:hint="eastAsia" w:ascii="仿宋" w:hAnsi="仿宋" w:eastAsia="仿宋" w:cs="仿宋"/>
          <w:spacing w:val="35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日</w:t>
      </w:r>
    </w:p>
    <w:p w14:paraId="7B8BFBCD">
      <w:pPr>
        <w:spacing w:line="224" w:lineRule="auto"/>
        <w:rPr>
          <w:rFonts w:ascii="仿宋" w:hAnsi="仿宋" w:eastAsia="仿宋" w:cs="仿宋"/>
          <w:sz w:val="31"/>
          <w:szCs w:val="31"/>
          <w:lang w:eastAsia="zh-CN"/>
        </w:rPr>
        <w:sectPr>
          <w:headerReference r:id="rId3" w:type="default"/>
          <w:footerReference r:id="rId4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0DDF92CE">
      <w:pPr>
        <w:pStyle w:val="2"/>
        <w:spacing w:line="289" w:lineRule="auto"/>
        <w:rPr>
          <w:lang w:eastAsia="zh-CN"/>
        </w:rPr>
      </w:pPr>
    </w:p>
    <w:p w14:paraId="57ED5E53">
      <w:pPr>
        <w:pStyle w:val="2"/>
        <w:spacing w:line="290" w:lineRule="auto"/>
        <w:rPr>
          <w:lang w:eastAsia="zh-CN"/>
        </w:rPr>
      </w:pPr>
    </w:p>
    <w:p w14:paraId="6F1F63CE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  <w:lang w:eastAsia="zh-CN"/>
        </w:rPr>
      </w:pPr>
      <w:r>
        <w:rPr>
          <w:rFonts w:ascii="仿宋" w:hAnsi="仿宋" w:eastAsia="仿宋" w:cs="仿宋"/>
          <w:spacing w:val="-49"/>
          <w:sz w:val="43"/>
          <w:szCs w:val="43"/>
          <w:lang w:eastAsia="zh-CN"/>
        </w:rPr>
        <w:t>目</w:t>
      </w:r>
      <w:r>
        <w:rPr>
          <w:rFonts w:ascii="仿宋" w:hAnsi="仿宋" w:eastAsia="仿宋" w:cs="仿宋"/>
          <w:spacing w:val="20"/>
          <w:sz w:val="43"/>
          <w:szCs w:val="43"/>
          <w:lang w:eastAsia="zh-CN"/>
        </w:rPr>
        <w:t xml:space="preserve">   </w:t>
      </w:r>
      <w:r>
        <w:rPr>
          <w:rFonts w:ascii="仿宋" w:hAnsi="仿宋" w:eastAsia="仿宋" w:cs="仿宋"/>
          <w:spacing w:val="-49"/>
          <w:sz w:val="43"/>
          <w:szCs w:val="43"/>
          <w:lang w:eastAsia="zh-CN"/>
        </w:rPr>
        <w:t>录</w:t>
      </w:r>
    </w:p>
    <w:p w14:paraId="1617E085">
      <w:pPr>
        <w:pStyle w:val="2"/>
        <w:spacing w:line="341" w:lineRule="auto"/>
        <w:rPr>
          <w:lang w:eastAsia="zh-CN"/>
        </w:rPr>
      </w:pPr>
    </w:p>
    <w:p w14:paraId="116F9FC7">
      <w:pPr>
        <w:pStyle w:val="2"/>
        <w:spacing w:line="342" w:lineRule="auto"/>
        <w:rPr>
          <w:lang w:eastAsia="zh-CN"/>
        </w:rPr>
      </w:pPr>
    </w:p>
    <w:p w14:paraId="05379364">
      <w:pPr>
        <w:spacing w:before="101" w:line="223" w:lineRule="auto"/>
        <w:ind w:left="4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z w:val="31"/>
          <w:szCs w:val="31"/>
          <w:lang w:eastAsia="zh-CN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  <w:lang w:eastAsia="zh-CN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  <w:lang w:eastAsia="zh-CN"/>
        </w:rPr>
        <w:t>部门概况</w:t>
      </w:r>
    </w:p>
    <w:p w14:paraId="5AEC6C50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一、部门职责</w:t>
      </w:r>
    </w:p>
    <w:p w14:paraId="6A7DD3B7">
      <w:pPr>
        <w:spacing w:before="250" w:line="222" w:lineRule="auto"/>
        <w:ind w:left="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二、机构设置及部门决算单位构成</w:t>
      </w:r>
    </w:p>
    <w:p w14:paraId="53A152A1">
      <w:pPr>
        <w:spacing w:before="250" w:line="223" w:lineRule="auto"/>
        <w:ind w:left="49"/>
        <w:outlineLvl w:val="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  <w:lang w:eastAsia="zh-CN"/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>2023</w:t>
      </w:r>
      <w:r>
        <w:rPr>
          <w:rFonts w:ascii="宋体" w:hAnsi="宋体" w:eastAsia="宋体" w:cs="宋体"/>
          <w:spacing w:val="-36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  <w:lang w:eastAsia="zh-CN"/>
        </w:rPr>
        <w:t>年度部门决算表</w:t>
      </w:r>
    </w:p>
    <w:p w14:paraId="20FBD881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一、收入支出决算总表</w:t>
      </w:r>
    </w:p>
    <w:p w14:paraId="1EE4381A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二、收入决算表</w:t>
      </w:r>
    </w:p>
    <w:p w14:paraId="1C9D0A69"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三、支出决算表</w:t>
      </w:r>
    </w:p>
    <w:p w14:paraId="7532CEA6"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四、财政拨款收入支出决算总表</w:t>
      </w:r>
    </w:p>
    <w:p w14:paraId="5D01C137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五、一般公共预算财政拨款支出决算表</w:t>
      </w:r>
    </w:p>
    <w:p w14:paraId="718259EA">
      <w:pPr>
        <w:spacing w:before="250" w:line="223" w:lineRule="auto"/>
        <w:ind w:left="38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六、一般公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共预算财政拨款基本支出决算明细表</w:t>
      </w:r>
    </w:p>
    <w:p w14:paraId="7ADFCEBE">
      <w:pPr>
        <w:spacing w:before="251" w:line="221" w:lineRule="auto"/>
        <w:ind w:left="41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七、政府性基金预算财政拨款收入支出决算表</w:t>
      </w:r>
    </w:p>
    <w:p w14:paraId="26DE3A94">
      <w:pPr>
        <w:spacing w:before="252" w:line="223" w:lineRule="auto"/>
        <w:ind w:left="34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八、 国有资本经营预算财政拨款支出决算表</w:t>
      </w:r>
    </w:p>
    <w:p w14:paraId="34417718">
      <w:pPr>
        <w:spacing w:before="249" w:line="223" w:lineRule="auto"/>
        <w:ind w:left="4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九、财政拨款“三公”经费支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出决算表</w:t>
      </w:r>
    </w:p>
    <w:p w14:paraId="48434EF3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十、部门预算项目支出绩效自评表</w:t>
      </w:r>
    </w:p>
    <w:p w14:paraId="52853B38">
      <w:pPr>
        <w:spacing w:before="249" w:line="223" w:lineRule="auto"/>
        <w:ind w:left="49"/>
        <w:outlineLvl w:val="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第三部分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  <w:lang w:eastAsia="zh-CN"/>
        </w:rPr>
        <w:t>2023</w:t>
      </w:r>
      <w:r>
        <w:rPr>
          <w:rFonts w:ascii="宋体" w:hAnsi="宋体" w:eastAsia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年度部门决算情况说明</w:t>
      </w:r>
    </w:p>
    <w:p w14:paraId="682DA6B1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一、收入支出决算总体情况说明</w:t>
      </w:r>
    </w:p>
    <w:p w14:paraId="6BE174C7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二、收入决算情况说明</w:t>
      </w:r>
    </w:p>
    <w:p w14:paraId="6108DC79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三、支出决算情况说明</w:t>
      </w:r>
    </w:p>
    <w:p w14:paraId="36408BA5"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四、财政拨款收入支出决算总体情况说明</w:t>
      </w:r>
    </w:p>
    <w:p w14:paraId="7600C1F7">
      <w:pPr>
        <w:spacing w:line="223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pgNumType w:fmt="decimal" w:start="2"/>
          <w:cols w:space="720" w:num="1"/>
        </w:sectPr>
      </w:pPr>
    </w:p>
    <w:p w14:paraId="4886BBAF"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五、一般公共预算财政拨款支出决算情况说明</w:t>
      </w:r>
    </w:p>
    <w:p w14:paraId="7BC8802A">
      <w:pPr>
        <w:spacing w:before="249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六、一般公共预算财政拨款基本支出决算情况说明</w:t>
      </w:r>
    </w:p>
    <w:p w14:paraId="1DE1375A">
      <w:pPr>
        <w:spacing w:before="250"/>
        <w:ind w:left="4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七、政府性基金预算财政拨款收入支出决算情况说明</w:t>
      </w:r>
    </w:p>
    <w:p w14:paraId="57DEA48E">
      <w:pPr>
        <w:spacing w:before="251"/>
        <w:ind w:left="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八、</w:t>
      </w:r>
      <w:r>
        <w:rPr>
          <w:rFonts w:ascii="仿宋" w:hAnsi="仿宋" w:eastAsia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国有资本经营预算财政拨款支出决算情况说明</w:t>
      </w:r>
    </w:p>
    <w:p w14:paraId="75DA6BAA">
      <w:pPr>
        <w:spacing w:before="250"/>
        <w:ind w:left="4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九、财政拨款“三公”经费支出决算情况说明</w:t>
      </w:r>
    </w:p>
    <w:p w14:paraId="1DAFB2AE">
      <w:pPr>
        <w:spacing w:before="249" w:line="224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十、绩效评价情况说明</w:t>
      </w:r>
    </w:p>
    <w:p w14:paraId="1CBF9E34">
      <w:pPr>
        <w:spacing w:before="248" w:line="223" w:lineRule="auto"/>
        <w:ind w:left="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十一、其他重要事项情况说明</w:t>
      </w:r>
    </w:p>
    <w:p w14:paraId="1262004A"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z w:val="31"/>
          <w:szCs w:val="31"/>
          <w:lang w:eastAsia="zh-CN"/>
        </w:rPr>
        <w:t>第四部分</w:t>
      </w:r>
      <w:r>
        <w:rPr>
          <w:rFonts w:ascii="仿宋" w:hAnsi="仿宋" w:eastAsia="仿宋" w:cs="仿宋"/>
          <w:spacing w:val="18"/>
          <w:sz w:val="31"/>
          <w:szCs w:val="31"/>
          <w:lang w:eastAsia="zh-CN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  <w:lang w:eastAsia="zh-CN"/>
        </w:rPr>
        <w:t>名词解释</w:t>
      </w:r>
    </w:p>
    <w:p w14:paraId="2DF07154">
      <w:pPr>
        <w:spacing w:line="224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6" w:type="default"/>
          <w:pgSz w:w="11907" w:h="16839"/>
          <w:pgMar w:top="1431" w:right="1785" w:bottom="1153" w:left="1785" w:header="0" w:footer="965" w:gutter="0"/>
          <w:pgNumType w:fmt="decimal" w:start="3"/>
          <w:cols w:space="720" w:num="1"/>
        </w:sectPr>
      </w:pPr>
    </w:p>
    <w:p w14:paraId="60833869">
      <w:pPr>
        <w:pStyle w:val="2"/>
        <w:spacing w:line="328" w:lineRule="auto"/>
        <w:rPr>
          <w:lang w:eastAsia="zh-CN"/>
        </w:rPr>
      </w:pPr>
    </w:p>
    <w:p w14:paraId="68376DE5">
      <w:pPr>
        <w:pStyle w:val="2"/>
        <w:spacing w:line="328" w:lineRule="auto"/>
        <w:rPr>
          <w:lang w:eastAsia="zh-CN"/>
        </w:rPr>
      </w:pPr>
    </w:p>
    <w:p w14:paraId="2B49DA35">
      <w:pPr>
        <w:spacing w:before="189" w:line="443" w:lineRule="exact"/>
        <w:ind w:left="2215"/>
        <w:outlineLvl w:val="0"/>
        <w:rPr>
          <w:rFonts w:ascii="微软雅黑" w:hAnsi="微软雅黑" w:eastAsia="微软雅黑" w:cs="微软雅黑"/>
          <w:sz w:val="44"/>
          <w:szCs w:val="44"/>
          <w:lang w:eastAsia="zh-CN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  <w:lang w:eastAsia="zh-CN"/>
        </w:rPr>
        <w:t>第一部分</w:t>
      </w:r>
      <w:r>
        <w:rPr>
          <w:rFonts w:ascii="微软雅黑" w:hAnsi="微软雅黑" w:eastAsia="微软雅黑" w:cs="微软雅黑"/>
          <w:spacing w:val="14"/>
          <w:position w:val="-2"/>
          <w:sz w:val="44"/>
          <w:szCs w:val="44"/>
          <w:lang w:eastAsia="zh-CN"/>
        </w:rPr>
        <w:t xml:space="preserve">  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  <w:lang w:eastAsia="zh-CN"/>
        </w:rPr>
        <w:t>部门概况</w:t>
      </w:r>
    </w:p>
    <w:p w14:paraId="053C264F">
      <w:pPr>
        <w:pStyle w:val="2"/>
        <w:spacing w:line="314" w:lineRule="auto"/>
        <w:rPr>
          <w:lang w:eastAsia="zh-CN"/>
        </w:rPr>
      </w:pPr>
    </w:p>
    <w:p w14:paraId="40BA411C">
      <w:pPr>
        <w:pStyle w:val="2"/>
        <w:spacing w:line="314" w:lineRule="auto"/>
        <w:rPr>
          <w:lang w:eastAsia="zh-CN"/>
        </w:rPr>
      </w:pPr>
    </w:p>
    <w:p w14:paraId="6E34DC7A">
      <w:pPr>
        <w:pStyle w:val="2"/>
        <w:spacing w:line="315" w:lineRule="auto"/>
        <w:rPr>
          <w:lang w:eastAsia="zh-CN"/>
        </w:rPr>
      </w:pPr>
    </w:p>
    <w:p w14:paraId="2039FA76">
      <w:pPr>
        <w:numPr>
          <w:ilvl w:val="0"/>
          <w:numId w:val="1"/>
        </w:numPr>
        <w:spacing w:before="101" w:line="224" w:lineRule="auto"/>
        <w:ind w:left="751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部门主要职责</w:t>
      </w:r>
    </w:p>
    <w:p w14:paraId="46DBCB1B"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 w14:paraId="1DD0C9C5">
      <w:pPr>
        <w:spacing w:line="360" w:lineRule="auto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sectPr>
          <w:footerReference r:id="rId7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1、宣传、贯彻、落实党和国家关于农村的各项方针，政策;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2、负责全乡党建、统一战线、人民武装、档案信息和乡机关及所属企事业单位干部人事管理等日常工作;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3、承担乡人大闭会期间的日常工作;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4、支持和指导群团组织工作;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5、负责综合协调、政务监督、行政后勤、文秘、统计等项工作;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6、负责全乡扶贫、优抚、拥军优属、殡葬管理、移风易俗等项工作，协助相关部门做好农村养老保险工作;                  7、负责全乡法制宣传教育、民事纠纷调解仲裁、社会治安综合治理等项工作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8、指导全乡各村民委员会开展工作;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9、负责全乡乡镇企业的规划、管理、指导和服务工作，促进农村多种经济成份的发展，促进新产品、新项目的引进和开发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10、负责全乡招商引资和劳动力管理工作，发展集贸市场;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11、负责全乡农业生产整体规划的制定并组织实施，种植、养殖业开发;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</w:p>
    <w:p w14:paraId="60AB71F1">
      <w:pPr>
        <w:spacing w:line="360" w:lineRule="auto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12、负责全乡农业生产资料的组织与协调;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13、负责全乡农田水利建设、林政管理、植树造林、推广使用农业机械等项工作。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14、负责全乡科学知识的普及、农业生产技术的推广气应用；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15、负责全乡乡村文化建设与管理、广播电视传送管理、中小学教育、农民业余教育、改水治水、卫生防疫、计划生育、妇幼保健和安全生产等项工作;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16、负责全乡小城镇和各项公益事业规划建设等工作;         17、负责编制全乡财政预决算，统管全乡财务工作;</w:t>
      </w:r>
    </w:p>
    <w:p w14:paraId="6EFC2DA3">
      <w:pPr>
        <w:spacing w:line="360" w:lineRule="auto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18.指导并监督全乡集体经济的财务管理和物价管理工作;</w:t>
      </w:r>
    </w:p>
    <w:p w14:paraId="436C2904">
      <w:pPr>
        <w:spacing w:line="360" w:lineRule="auto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19、承办市委、市政府交办的其他工作任务。</w:t>
      </w:r>
    </w:p>
    <w:p w14:paraId="7CC04AD4">
      <w:pPr>
        <w:spacing w:line="360" w:lineRule="auto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</w:p>
    <w:p w14:paraId="5C664E5A">
      <w:pPr>
        <w:spacing w:before="251" w:line="224" w:lineRule="auto"/>
        <w:ind w:left="672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二、机构设置及部门决算单位构成</w:t>
      </w:r>
    </w:p>
    <w:p w14:paraId="7367AA98">
      <w:pPr>
        <w:spacing w:line="360" w:lineRule="auto"/>
        <w:ind w:firstLine="644" w:firstLineChars="200"/>
        <w:rPr>
          <w:rFonts w:ascii="仿宋" w:hAnsi="仿宋" w:eastAsia="仿宋" w:cs="仿宋"/>
          <w:spacing w:val="6"/>
          <w:sz w:val="31"/>
          <w:szCs w:val="31"/>
          <w:lang w:eastAsia="zh-CN"/>
        </w:rPr>
      </w:pPr>
    </w:p>
    <w:p w14:paraId="37285311">
      <w:pPr>
        <w:spacing w:line="360" w:lineRule="auto"/>
        <w:ind w:firstLine="644" w:firstLineChars="200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根据上述职责，德惠市朝阳乡人民政府</w:t>
      </w:r>
    </w:p>
    <w:p w14:paraId="09DE1734">
      <w:pPr>
        <w:spacing w:line="360" w:lineRule="auto"/>
        <w:ind w:firstLine="644" w:firstLineChars="200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 xml:space="preserve">内设 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 xml:space="preserve"> 个机构，分别为党建办公室、财政经济办公室、农业农村办公室、社会事务管理办公室、综合办公室、平安建设办公室、城乡建设管理办公室、行政执法办公室。</w:t>
      </w:r>
    </w:p>
    <w:p w14:paraId="7BB963D4">
      <w:pPr>
        <w:spacing w:line="360" w:lineRule="auto"/>
        <w:ind w:firstLine="644" w:firstLineChars="200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纳入德惠市朝阳乡人民政府</w:t>
      </w:r>
    </w:p>
    <w:p w14:paraId="49BBB7A7">
      <w:pPr>
        <w:spacing w:line="360" w:lineRule="auto"/>
        <w:ind w:firstLine="644" w:firstLineChars="200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202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 xml:space="preserve">年度部门决算编制范围的单位包括：                   (一)、 德惠市朝阳乡人民政府(机关)             </w:t>
      </w:r>
    </w:p>
    <w:p w14:paraId="12AFD9EA"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sectPr>
          <w:footerReference r:id="rId8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 xml:space="preserve">、德惠市朝阳乡综合服务中心                           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 xml:space="preserve">乡综合服务中心内设12个科。                    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1D6D49EA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1、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 xml:space="preserve">党建服务科：负责党务、编制、人事、群团等服务工作，配合做好党群服务平台工作。.                        </w:t>
      </w:r>
    </w:p>
    <w:p w14:paraId="665EB71D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 xml:space="preserve">2、综合科(经济发展服务科)：负责文字综合、财务、后勤等日常工作；负责辖区内招商、经济统计等服务工作。         3、平安建设服务科(应急保障科)：负责平安建设、应急保障方面的信息收集整理；负责组织开展安全生产政策宣传以及应急救援服务等工作；配合做好社会治安方面的矛盾纠纷调处化解；配合做好社会治安综合治理平台工作。        4、执法保障科：联系派驻执法机构，做好行政执法服务保障工作；协助开展执法活动，配合做好行政执法平台工作。5、农业服务科：负责农业先进技术、农业机械化技术引进、试验、示范、推广工作；负责农业信息收集、农情调查等工作；负责农业知识的宣传教育以及农作物病虫害预防监测等服务工作。                                         6、林业水利服务科：配合做好营林绿化的组织和指导；负责辖区内森林火灾预防、森林病虫害防治工作；负责林业资源和水利工程档案的统计和管理，配合做好林业、水利工程建设维护工作；负责水土保持和农田基本建设等相关事务性工作。                                              7、畜牧服务科：负责辖区内动物免疫的组织实施及动物疫情的普查、调查、监测工作；负责辖区内动物繁殖改良和新品种新技术推广工作；负责畜产品质量安全知识的宣传教育工作。                                             8、农村集体经济服务科：负责辖区内农村土地承包、农村集体经济发展和资产财务管理、农业新兴经管主体培育、宅基地管理等方面的服务工作。                          9.社会事务服务科：负责文化、旅游、体制、教育、科普、最低生活保障、“五保”对象供养救助等社会事业服务工作；负责残疾人服务工作；负责卫生保健、计划育宣传教育和技术指导等服工作，配做好便民服务平台工作。           10、退役军人和劳动保障服务科：负责辖区内退役军人就业创业扶持、帮扶解困、信访接待、权益保障等服务性、保障性、事务性工作；负责农村劳动力资源调查及转移培训就业，城乡就业失业登记，维护劳动者合法权益，调解劳动、人事争议，配合做好便民服务平台工作。                   11、自然资源服科：协助开展土地资源调查、土地分等定级、土地登记、土地统计、地籍档案管理、土地证书发放和土地动态监测工作；配合做好自然资源保护理工作；协助开展地质灾害监测、防治、预报等工作；负责涉及自然资源、环境保护的相关宣传服务工作。                         </w:t>
      </w:r>
    </w:p>
    <w:p w14:paraId="279AC3CE">
      <w:pPr>
        <w:spacing w:line="360" w:lineRule="auto"/>
        <w:rPr>
          <w:rFonts w:ascii="仿宋" w:hAnsi="仿宋" w:eastAsia="仿宋" w:cs="仿宋"/>
          <w:spacing w:val="6"/>
          <w:sz w:val="31"/>
          <w:szCs w:val="31"/>
          <w:lang w:eastAsia="zh-CN"/>
        </w:rPr>
        <w:sectPr>
          <w:footerReference r:id="rId9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 xml:space="preserve"> 12、城乡建设服务科：负责辖区内住房和城乡建设、交通运输以及市容和环境卫生等服务工作，配合做好便民服务平台工作。</w:t>
      </w:r>
    </w:p>
    <w:p w14:paraId="1E9EF7EA">
      <w:pPr>
        <w:pStyle w:val="2"/>
        <w:spacing w:line="328" w:lineRule="auto"/>
        <w:rPr>
          <w:lang w:eastAsia="zh-CN"/>
        </w:rPr>
      </w:pPr>
    </w:p>
    <w:p w14:paraId="681086B9">
      <w:pPr>
        <w:pStyle w:val="2"/>
        <w:spacing w:line="328" w:lineRule="auto"/>
        <w:rPr>
          <w:lang w:eastAsia="zh-CN"/>
        </w:rPr>
      </w:pPr>
    </w:p>
    <w:p w14:paraId="55A528BD">
      <w:pPr>
        <w:spacing w:before="189" w:line="186" w:lineRule="auto"/>
        <w:ind w:left="1142"/>
        <w:rPr>
          <w:lang w:eastAsia="zh-CN"/>
        </w:rPr>
      </w:pPr>
      <w:r>
        <w:rPr>
          <w:rFonts w:ascii="微软雅黑" w:hAnsi="微软雅黑" w:eastAsia="微软雅黑" w:cs="微软雅黑"/>
          <w:sz w:val="44"/>
          <w:szCs w:val="44"/>
          <w:lang w:eastAsia="zh-CN"/>
        </w:rPr>
        <w:t>第二部分</w:t>
      </w:r>
      <w:r>
        <w:rPr>
          <w:rFonts w:ascii="微软雅黑" w:hAnsi="微软雅黑" w:eastAsia="微软雅黑" w:cs="微软雅黑"/>
          <w:spacing w:val="111"/>
          <w:sz w:val="44"/>
          <w:szCs w:val="44"/>
          <w:lang w:eastAsia="zh-CN"/>
        </w:rPr>
        <w:t xml:space="preserve"> </w:t>
      </w:r>
      <w:r>
        <w:rPr>
          <w:rFonts w:ascii="宋体" w:hAnsi="宋体" w:eastAsia="宋体" w:cs="宋体"/>
          <w:sz w:val="43"/>
          <w:szCs w:val="43"/>
          <w:lang w:eastAsia="zh-CN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  <w:lang w:eastAsia="zh-CN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  <w:lang w:eastAsia="zh-CN"/>
        </w:rPr>
        <w:t>年度部门决算表</w:t>
      </w:r>
    </w:p>
    <w:p w14:paraId="6DC46C96">
      <w:pPr>
        <w:pStyle w:val="2"/>
        <w:spacing w:line="268" w:lineRule="auto"/>
        <w:rPr>
          <w:lang w:eastAsia="zh-CN"/>
        </w:rPr>
      </w:pPr>
    </w:p>
    <w:p w14:paraId="36B05708">
      <w:pPr>
        <w:numPr>
          <w:ilvl w:val="0"/>
          <w:numId w:val="3"/>
        </w:numPr>
        <w:spacing w:before="100" w:line="224" w:lineRule="auto"/>
        <w:ind w:left="672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收入支出决算总表</w:t>
      </w:r>
    </w:p>
    <w:p w14:paraId="5D50E21C">
      <w:pPr>
        <w:numPr>
          <w:ilvl w:val="0"/>
          <w:numId w:val="0"/>
        </w:numPr>
        <w:spacing w:before="100" w:line="224" w:lineRule="auto"/>
        <w:rPr>
          <w:rFonts w:ascii="黑体" w:hAnsi="黑体" w:eastAsia="黑体" w:cs="黑体"/>
          <w:spacing w:val="7"/>
          <w:sz w:val="31"/>
          <w:szCs w:val="31"/>
        </w:rPr>
      </w:pPr>
      <w:r>
        <w:drawing>
          <wp:inline distT="0" distB="0" distL="114300" distR="114300">
            <wp:extent cx="5184140" cy="3634740"/>
            <wp:effectExtent l="0" t="0" r="16510" b="38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5C4C6A">
      <w:pPr>
        <w:keepNext w:val="0"/>
        <w:keepLines w:val="0"/>
        <w:pageBreakBefore w:val="0"/>
        <w:widowControl/>
        <w:tabs>
          <w:tab w:val="left" w:pos="62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274" w:lineRule="auto"/>
        <w:ind w:firstLine="622" w:firstLineChars="200"/>
        <w:jc w:val="both"/>
        <w:textAlignment w:val="baseline"/>
        <w:rPr>
          <w:rFonts w:hint="eastAsia" w:ascii="黑体" w:hAnsi="黑体" w:eastAsia="黑体" w:cs="黑体"/>
          <w:b/>
          <w:bCs/>
          <w:sz w:val="31"/>
          <w:szCs w:val="31"/>
          <w:lang w:eastAsia="zh-CN"/>
        </w:rPr>
      </w:pPr>
    </w:p>
    <w:p w14:paraId="5E812FB4">
      <w:pPr>
        <w:keepNext w:val="0"/>
        <w:keepLines w:val="0"/>
        <w:pageBreakBefore w:val="0"/>
        <w:widowControl/>
        <w:tabs>
          <w:tab w:val="left" w:pos="62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274" w:lineRule="auto"/>
        <w:ind w:firstLine="622" w:firstLineChars="200"/>
        <w:jc w:val="both"/>
        <w:textAlignment w:val="baseline"/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1"/>
          <w:szCs w:val="31"/>
          <w:lang w:eastAsia="zh-CN"/>
        </w:rPr>
        <w:t>二、收入决算表</w:t>
      </w:r>
    </w:p>
    <w:p w14:paraId="0A1F9A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274" w:lineRule="auto"/>
        <w:jc w:val="both"/>
        <w:textAlignment w:val="baseline"/>
      </w:pPr>
      <w:r>
        <w:drawing>
          <wp:inline distT="0" distB="0" distL="114300" distR="114300">
            <wp:extent cx="5239385" cy="2924175"/>
            <wp:effectExtent l="0" t="0" r="1841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58327B">
      <w:pPr>
        <w:pStyle w:val="2"/>
        <w:spacing w:line="261" w:lineRule="auto"/>
      </w:pPr>
    </w:p>
    <w:p w14:paraId="0B898E35">
      <w:pPr>
        <w:pStyle w:val="2"/>
        <w:spacing w:line="261" w:lineRule="auto"/>
      </w:pPr>
    </w:p>
    <w:p w14:paraId="7D552BB6">
      <w:pPr>
        <w:numPr>
          <w:ilvl w:val="0"/>
          <w:numId w:val="0"/>
        </w:numPr>
        <w:spacing w:before="101" w:line="224" w:lineRule="auto"/>
        <w:ind w:left="672" w:leftChars="0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三、</w:t>
      </w:r>
      <w:r>
        <w:rPr>
          <w:rFonts w:ascii="黑体" w:hAnsi="黑体" w:eastAsia="黑体" w:cs="黑体"/>
          <w:spacing w:val="7"/>
          <w:sz w:val="31"/>
          <w:szCs w:val="31"/>
        </w:rPr>
        <w:t>支出决算表</w:t>
      </w:r>
    </w:p>
    <w:p w14:paraId="171D1321">
      <w:pPr>
        <w:numPr>
          <w:ilvl w:val="0"/>
          <w:numId w:val="0"/>
        </w:numPr>
        <w:spacing w:before="101" w:line="224" w:lineRule="auto"/>
        <w:ind w:left="672" w:leftChars="0"/>
        <w:rPr>
          <w:rFonts w:ascii="黑体" w:hAnsi="黑体" w:eastAsia="黑体" w:cs="黑体"/>
          <w:spacing w:val="7"/>
          <w:sz w:val="31"/>
          <w:szCs w:val="31"/>
        </w:rPr>
      </w:pPr>
    </w:p>
    <w:p w14:paraId="2EB8E2A9">
      <w:pPr>
        <w:numPr>
          <w:ilvl w:val="0"/>
          <w:numId w:val="0"/>
        </w:numPr>
        <w:spacing w:before="101" w:line="224" w:lineRule="auto"/>
        <w:rPr>
          <w:rFonts w:ascii="黑体" w:hAnsi="黑体" w:eastAsia="黑体" w:cs="黑体"/>
          <w:spacing w:val="7"/>
          <w:sz w:val="31"/>
          <w:szCs w:val="31"/>
          <w:lang w:eastAsia="zh-CN"/>
        </w:rPr>
      </w:pPr>
      <w:r>
        <w:drawing>
          <wp:inline distT="0" distB="0" distL="114300" distR="114300">
            <wp:extent cx="5306695" cy="3006090"/>
            <wp:effectExtent l="0" t="0" r="825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5842">
      <w:pPr>
        <w:spacing w:line="356" w:lineRule="auto"/>
      </w:pPr>
    </w:p>
    <w:p w14:paraId="7B882E37">
      <w:pPr>
        <w:spacing w:line="356" w:lineRule="auto"/>
      </w:pPr>
    </w:p>
    <w:p w14:paraId="3524595D">
      <w:pPr>
        <w:spacing w:before="101" w:line="224" w:lineRule="auto"/>
        <w:ind w:firstLine="648" w:firstLineChars="20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四、财政拨款收入支出决算总表</w:t>
      </w:r>
    </w:p>
    <w:p w14:paraId="37FF6D63">
      <w:pPr>
        <w:spacing w:line="356" w:lineRule="auto"/>
        <w:rPr>
          <w:lang w:eastAsia="zh-CN"/>
        </w:rPr>
      </w:pPr>
    </w:p>
    <w:p w14:paraId="099FF056">
      <w:pPr>
        <w:spacing w:line="356" w:lineRule="auto"/>
        <w:rPr>
          <w:lang w:eastAsia="zh-CN"/>
        </w:rPr>
      </w:pPr>
    </w:p>
    <w:p w14:paraId="5448A4AC">
      <w:pPr>
        <w:spacing w:line="356" w:lineRule="auto"/>
        <w:rPr>
          <w:lang w:eastAsia="zh-CN"/>
        </w:rPr>
        <w:sectPr>
          <w:footerReference r:id="rId10" w:type="default"/>
          <w:pgSz w:w="11907" w:h="16839"/>
          <w:pgMar w:top="1431" w:right="1785" w:bottom="1150" w:left="1785" w:header="0" w:footer="965" w:gutter="0"/>
          <w:pgNumType w:fmt="decimal"/>
          <w:cols w:space="720" w:num="1"/>
        </w:sectPr>
      </w:pPr>
      <w:r>
        <w:drawing>
          <wp:inline distT="0" distB="0" distL="114300" distR="114300">
            <wp:extent cx="5363210" cy="3924935"/>
            <wp:effectExtent l="0" t="0" r="8890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79B5F9">
      <w:pPr>
        <w:spacing w:before="100" w:line="224" w:lineRule="auto"/>
        <w:ind w:firstLine="652" w:firstLineChars="20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五、一般公共预算财政拨款支出决算表</w:t>
      </w:r>
    </w:p>
    <w:p w14:paraId="055947FE">
      <w:pPr>
        <w:spacing w:line="361" w:lineRule="auto"/>
        <w:rPr>
          <w:rFonts w:ascii="仿宋" w:hAnsi="仿宋" w:eastAsia="仿宋" w:cs="仿宋"/>
          <w:sz w:val="31"/>
          <w:szCs w:val="31"/>
          <w:lang w:eastAsia="zh-CN"/>
        </w:rPr>
      </w:pPr>
    </w:p>
    <w:p w14:paraId="2F6ADB72">
      <w:pPr>
        <w:spacing w:line="361" w:lineRule="auto"/>
      </w:pPr>
      <w:r>
        <w:drawing>
          <wp:inline distT="0" distB="0" distL="114300" distR="114300">
            <wp:extent cx="5297805" cy="3581400"/>
            <wp:effectExtent l="0" t="0" r="1714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1C0B47">
      <w:pPr>
        <w:spacing w:line="361" w:lineRule="auto"/>
      </w:pPr>
    </w:p>
    <w:p w14:paraId="3169334E">
      <w:pPr>
        <w:spacing w:line="361" w:lineRule="auto"/>
      </w:pPr>
    </w:p>
    <w:p w14:paraId="1E850290">
      <w:pPr>
        <w:spacing w:before="100" w:line="224" w:lineRule="auto"/>
        <w:ind w:firstLine="326" w:firstLineChars="10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六、一般公共预算财政拨款基本支出决算明细表</w:t>
      </w:r>
    </w:p>
    <w:p w14:paraId="2E0D8F59">
      <w:pPr>
        <w:spacing w:line="361" w:lineRule="auto"/>
        <w:rPr>
          <w:lang w:eastAsia="zh-CN"/>
        </w:rPr>
      </w:pPr>
    </w:p>
    <w:p w14:paraId="4F104CEB">
      <w:pPr>
        <w:spacing w:line="361" w:lineRule="auto"/>
        <w:rPr>
          <w:lang w:eastAsia="zh-CN"/>
        </w:rPr>
      </w:pPr>
    </w:p>
    <w:p w14:paraId="384FDEEE">
      <w:pPr>
        <w:spacing w:line="361" w:lineRule="auto"/>
        <w:rPr>
          <w:lang w:eastAsia="zh-CN"/>
        </w:rPr>
        <w:sectPr>
          <w:footerReference r:id="rId11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  <w:r>
        <w:drawing>
          <wp:inline distT="0" distB="0" distL="114300" distR="114300">
            <wp:extent cx="5249545" cy="3467100"/>
            <wp:effectExtent l="0" t="0" r="825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EF5F04">
      <w:pPr>
        <w:pStyle w:val="2"/>
        <w:spacing w:line="339" w:lineRule="auto"/>
        <w:rPr>
          <w:lang w:eastAsia="zh-CN"/>
        </w:rPr>
      </w:pPr>
    </w:p>
    <w:p w14:paraId="41983719">
      <w:pPr>
        <w:numPr>
          <w:ilvl w:val="0"/>
          <w:numId w:val="4"/>
        </w:numPr>
        <w:spacing w:before="101" w:line="224" w:lineRule="auto"/>
        <w:ind w:firstLine="326" w:firstLineChars="100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政府性基金预算财政拨款收入支出决算表</w:t>
      </w:r>
    </w:p>
    <w:p w14:paraId="0445A75B">
      <w:pPr>
        <w:numPr>
          <w:ilvl w:val="0"/>
          <w:numId w:val="0"/>
        </w:numPr>
        <w:spacing w:before="101" w:line="224" w:lineRule="auto"/>
        <w:rPr>
          <w:rFonts w:ascii="黑体" w:hAnsi="黑体" w:eastAsia="黑体" w:cs="黑体"/>
          <w:spacing w:val="8"/>
          <w:sz w:val="31"/>
          <w:szCs w:val="31"/>
          <w:lang w:eastAsia="zh-CN"/>
        </w:rPr>
      </w:pPr>
    </w:p>
    <w:p w14:paraId="052D76DB">
      <w:pPr>
        <w:spacing w:line="361" w:lineRule="auto"/>
        <w:rPr>
          <w:rFonts w:ascii="仿宋" w:hAnsi="仿宋" w:eastAsia="仿宋" w:cs="仿宋"/>
          <w:sz w:val="31"/>
          <w:szCs w:val="31"/>
          <w:lang w:eastAsia="zh-CN"/>
        </w:rPr>
      </w:pPr>
      <w:r>
        <w:drawing>
          <wp:inline distT="0" distB="0" distL="114300" distR="114300">
            <wp:extent cx="5266055" cy="3162935"/>
            <wp:effectExtent l="0" t="0" r="10795" b="184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62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672471">
      <w:pPr>
        <w:spacing w:line="361" w:lineRule="auto"/>
      </w:pPr>
    </w:p>
    <w:p w14:paraId="7BD251C8">
      <w:pPr>
        <w:spacing w:line="361" w:lineRule="auto"/>
      </w:pPr>
    </w:p>
    <w:p w14:paraId="22AAF710">
      <w:pPr>
        <w:spacing w:line="361" w:lineRule="auto"/>
      </w:pPr>
    </w:p>
    <w:p w14:paraId="555E9384">
      <w:pPr>
        <w:spacing w:before="101" w:line="224" w:lineRule="auto"/>
        <w:ind w:firstLine="652" w:firstLineChars="20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八、国有资本经营预算财政拨款支出决算表</w:t>
      </w:r>
    </w:p>
    <w:p w14:paraId="46CE656A">
      <w:pPr>
        <w:spacing w:line="361" w:lineRule="auto"/>
        <w:rPr>
          <w:lang w:eastAsia="zh-CN"/>
        </w:rPr>
      </w:pPr>
    </w:p>
    <w:p w14:paraId="42158A20">
      <w:pPr>
        <w:spacing w:line="361" w:lineRule="auto"/>
        <w:rPr>
          <w:lang w:eastAsia="zh-CN"/>
        </w:rPr>
      </w:pPr>
      <w:r>
        <w:rPr>
          <w:position w:val="-96"/>
          <w:lang w:eastAsia="zh-CN"/>
        </w:rPr>
        <w:drawing>
          <wp:inline distT="0" distB="0" distL="0" distR="0">
            <wp:extent cx="5254625" cy="3058160"/>
            <wp:effectExtent l="0" t="0" r="3175" b="889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55259" cy="305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D775D">
      <w:pPr>
        <w:spacing w:line="361" w:lineRule="auto"/>
        <w:rPr>
          <w:lang w:eastAsia="zh-CN"/>
        </w:rPr>
      </w:pPr>
    </w:p>
    <w:p w14:paraId="25D04324">
      <w:pPr>
        <w:spacing w:line="361" w:lineRule="auto"/>
        <w:rPr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footerReference r:id="rId12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color w:val="000000" w:themeColor="text1"/>
          <w:spacing w:val="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注；</w:t>
      </w:r>
      <w:r>
        <w:rPr>
          <w:rFonts w:ascii="仿宋" w:hAnsi="仿宋" w:eastAsia="仿宋" w:cs="仿宋"/>
          <w:color w:val="000000" w:themeColor="text1"/>
          <w:spacing w:val="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本单位没有国有资本经营预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算财政拨款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5E8E35F">
      <w:pPr>
        <w:numPr>
          <w:ilvl w:val="0"/>
          <w:numId w:val="0"/>
        </w:numPr>
        <w:spacing w:before="101" w:line="224" w:lineRule="auto"/>
        <w:ind w:leftChars="100" w:firstLine="652" w:firstLineChars="200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九、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财政拨款“三公”经费支出决算表</w:t>
      </w:r>
    </w:p>
    <w:p w14:paraId="63054E21">
      <w:pPr>
        <w:numPr>
          <w:ilvl w:val="0"/>
          <w:numId w:val="0"/>
        </w:numPr>
        <w:spacing w:before="101" w:line="224" w:lineRule="auto"/>
        <w:ind w:leftChars="100" w:firstLine="652" w:firstLineChars="200"/>
        <w:rPr>
          <w:rFonts w:ascii="黑体" w:hAnsi="黑体" w:eastAsia="黑体" w:cs="黑体"/>
          <w:spacing w:val="8"/>
          <w:sz w:val="31"/>
          <w:szCs w:val="31"/>
          <w:lang w:eastAsia="zh-CN"/>
        </w:rPr>
      </w:pPr>
    </w:p>
    <w:p w14:paraId="332E5271">
      <w:pPr>
        <w:numPr>
          <w:ilvl w:val="0"/>
          <w:numId w:val="0"/>
        </w:numPr>
        <w:spacing w:before="101" w:line="224" w:lineRule="auto"/>
      </w:pPr>
      <w:r>
        <w:drawing>
          <wp:inline distT="0" distB="0" distL="114300" distR="114300">
            <wp:extent cx="5295265" cy="2229485"/>
            <wp:effectExtent l="0" t="0" r="635" b="1841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B9E279">
      <w:pPr>
        <w:numPr>
          <w:ilvl w:val="0"/>
          <w:numId w:val="0"/>
        </w:numPr>
        <w:spacing w:before="101" w:line="224" w:lineRule="auto"/>
        <w:rPr>
          <w:lang w:eastAsia="zh-CN"/>
        </w:rPr>
      </w:pPr>
    </w:p>
    <w:p w14:paraId="3E9B08C2">
      <w:pPr>
        <w:numPr>
          <w:ilvl w:val="0"/>
          <w:numId w:val="5"/>
        </w:numPr>
        <w:spacing w:before="100" w:line="224" w:lineRule="auto"/>
        <w:ind w:left="652" w:leftChars="0" w:firstLine="0" w:firstLineChars="0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部门预算项目支出绩效自评表</w:t>
      </w:r>
    </w:p>
    <w:p w14:paraId="6B64D2C8">
      <w:pPr>
        <w:numPr>
          <w:ilvl w:val="0"/>
          <w:numId w:val="0"/>
        </w:numPr>
        <w:spacing w:before="100" w:line="224" w:lineRule="auto"/>
        <w:ind w:left="652" w:leftChars="0"/>
        <w:rPr>
          <w:rFonts w:ascii="黑体" w:hAnsi="黑体" w:eastAsia="黑体" w:cs="黑体"/>
          <w:spacing w:val="8"/>
          <w:sz w:val="31"/>
          <w:szCs w:val="31"/>
          <w:lang w:eastAsia="zh-CN"/>
        </w:rPr>
      </w:pPr>
    </w:p>
    <w:p w14:paraId="64B6DFFA">
      <w:pPr>
        <w:numPr>
          <w:ilvl w:val="0"/>
          <w:numId w:val="0"/>
        </w:numPr>
        <w:spacing w:before="100" w:line="224" w:lineRule="auto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position w:val="-196"/>
          <w:lang w:eastAsia="zh-CN"/>
        </w:rPr>
        <w:drawing>
          <wp:inline distT="0" distB="0" distL="0" distR="0">
            <wp:extent cx="4912995" cy="4614545"/>
            <wp:effectExtent l="0" t="0" r="1905" b="14605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13629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32251">
      <w:pPr>
        <w:spacing w:line="364" w:lineRule="auto"/>
        <w:ind w:firstLine="620" w:firstLineChars="20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注；本单位年初未列项目支出。</w:t>
      </w:r>
    </w:p>
    <w:p w14:paraId="2E3B3AE9">
      <w:pPr>
        <w:spacing w:before="225" w:line="443" w:lineRule="exact"/>
        <w:outlineLvl w:val="0"/>
        <w:rPr>
          <w:rFonts w:ascii="微软雅黑" w:hAnsi="微软雅黑" w:eastAsia="微软雅黑" w:cs="微软雅黑"/>
          <w:spacing w:val="5"/>
          <w:position w:val="-2"/>
          <w:sz w:val="43"/>
          <w:szCs w:val="43"/>
          <w:lang w:eastAsia="zh-CN"/>
        </w:rPr>
      </w:pPr>
    </w:p>
    <w:p w14:paraId="70E6BC83">
      <w:pPr>
        <w:spacing w:before="225" w:line="443" w:lineRule="exact"/>
        <w:ind w:firstLine="440" w:firstLineChars="100"/>
        <w:outlineLvl w:val="0"/>
        <w:rPr>
          <w:rFonts w:ascii="微软雅黑" w:hAnsi="微软雅黑" w:eastAsia="微软雅黑" w:cs="微软雅黑"/>
          <w:sz w:val="43"/>
          <w:szCs w:val="43"/>
          <w:lang w:eastAsia="zh-CN"/>
        </w:rPr>
      </w:pP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  <w:lang w:eastAsia="zh-CN"/>
        </w:rPr>
        <w:t>第三部分</w:t>
      </w:r>
      <w:r>
        <w:rPr>
          <w:rFonts w:ascii="微软雅黑" w:hAnsi="微软雅黑" w:eastAsia="微软雅黑" w:cs="微软雅黑"/>
          <w:spacing w:val="103"/>
          <w:position w:val="-2"/>
          <w:sz w:val="43"/>
          <w:szCs w:val="43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  <w:lang w:eastAsia="zh-CN"/>
        </w:rPr>
        <w:t>2023年度部门决算情况说明</w:t>
      </w:r>
    </w:p>
    <w:p w14:paraId="0765908D">
      <w:pPr>
        <w:pStyle w:val="2"/>
        <w:spacing w:line="314" w:lineRule="auto"/>
        <w:rPr>
          <w:lang w:eastAsia="zh-CN"/>
        </w:rPr>
      </w:pPr>
    </w:p>
    <w:p w14:paraId="78902840">
      <w:pPr>
        <w:pStyle w:val="2"/>
        <w:spacing w:line="314" w:lineRule="auto"/>
        <w:rPr>
          <w:lang w:eastAsia="zh-CN"/>
        </w:rPr>
      </w:pPr>
    </w:p>
    <w:p w14:paraId="4ED9A9CC">
      <w:pPr>
        <w:pStyle w:val="2"/>
        <w:spacing w:line="315" w:lineRule="auto"/>
        <w:rPr>
          <w:lang w:eastAsia="zh-CN"/>
        </w:rPr>
      </w:pPr>
    </w:p>
    <w:p w14:paraId="5B93C7A4">
      <w:pPr>
        <w:spacing w:before="101" w:line="360" w:lineRule="auto"/>
        <w:ind w:left="672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一、收入支出决算总体情况说明</w:t>
      </w:r>
    </w:p>
    <w:p w14:paraId="2B7D0DB8">
      <w:pPr>
        <w:spacing w:line="367" w:lineRule="auto"/>
        <w:ind w:firstLine="362" w:firstLineChars="114"/>
        <w:rPr>
          <w:rFonts w:hint="eastAsia" w:ascii="仿宋" w:hAnsi="仿宋" w:eastAsia="仿宋"/>
          <w:sz w:val="32"/>
          <w:szCs w:val="30"/>
          <w:lang w:eastAsia="zh-CN"/>
        </w:rPr>
      </w:pPr>
      <w:r>
        <w:rPr>
          <w:rFonts w:hint="eastAsia" w:ascii="宋体" w:hAnsi="宋体" w:eastAsia="宋体" w:cs="宋体"/>
          <w:spacing w:val="4"/>
          <w:sz w:val="31"/>
          <w:szCs w:val="31"/>
          <w:lang w:eastAsia="zh-CN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  <w:lang w:eastAsia="zh-CN"/>
        </w:rPr>
        <w:t>2023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年度收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支总计均为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 xml:space="preserve"> 2084.20、2086.80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万元。与</w:t>
      </w:r>
      <w:r>
        <w:rPr>
          <w:rFonts w:ascii="仿宋" w:hAnsi="仿宋" w:eastAsia="仿宋" w:cs="仿宋"/>
          <w:spacing w:val="-32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:lang w:eastAsia="zh-CN"/>
        </w:rPr>
        <w:t>2022</w:t>
      </w:r>
      <w:bookmarkStart w:id="0" w:name="_GoBack"/>
      <w:bookmarkEnd w:id="0"/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年度相比，收、支总计各增加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229.26、254.9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万元，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收入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增长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12.36</w:t>
      </w:r>
      <w:r>
        <w:rPr>
          <w:rFonts w:ascii="宋体" w:hAnsi="宋体" w:eastAsia="宋体" w:cs="宋体"/>
          <w:spacing w:val="4"/>
          <w:sz w:val="31"/>
          <w:szCs w:val="31"/>
          <w:lang w:eastAsia="zh-CN"/>
        </w:rPr>
        <w:t>%</w:t>
      </w:r>
      <w:r>
        <w:rPr>
          <w:rFonts w:hint="eastAsia" w:ascii="宋体" w:hAnsi="宋体" w:eastAsia="宋体" w:cs="宋体"/>
          <w:spacing w:val="4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支出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增长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13.91</w:t>
      </w:r>
      <w:r>
        <w:rPr>
          <w:rFonts w:ascii="宋体" w:hAnsi="宋体" w:eastAsia="宋体" w:cs="宋体"/>
          <w:spacing w:val="4"/>
          <w:sz w:val="31"/>
          <w:szCs w:val="31"/>
          <w:lang w:eastAsia="zh-CN"/>
        </w:rPr>
        <w:t>%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。主</w:t>
      </w: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要原因：</w:t>
      </w:r>
      <w:r>
        <w:rPr>
          <w:rFonts w:hint="eastAsia" w:ascii="仿宋" w:hAnsi="仿宋" w:eastAsia="仿宋"/>
          <w:sz w:val="32"/>
          <w:szCs w:val="30"/>
          <w:lang w:eastAsia="zh-CN"/>
        </w:rPr>
        <w:t>职工工资增加、项目收入支出增加。</w:t>
      </w:r>
    </w:p>
    <w:p w14:paraId="5B2D4603">
      <w:pPr>
        <w:spacing w:before="50" w:line="224" w:lineRule="auto"/>
        <w:ind w:left="672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二、收入决算情况说明</w:t>
      </w:r>
    </w:p>
    <w:p w14:paraId="08314D91">
      <w:pPr>
        <w:spacing w:before="253" w:line="368" w:lineRule="auto"/>
        <w:ind w:left="23" w:firstLine="6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本年收入合计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2084.20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万元，其中：财政拨款收入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 xml:space="preserve"> 2084.20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比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上年增加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229.26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万元，增长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12.36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:lang w:eastAsia="zh-CN"/>
        </w:rPr>
        <w:t>%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，主要是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 xml:space="preserve">职工工资增加、项目收入支出增加 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；</w:t>
      </w:r>
    </w:p>
    <w:p w14:paraId="6E4DA31F">
      <w:pPr>
        <w:spacing w:line="356" w:lineRule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本单位没有上级补助收入、事业收入、经营收入、附属单位上缴收入、其他收入财政拨款。</w:t>
      </w:r>
    </w:p>
    <w:p w14:paraId="67B1160D">
      <w:pPr>
        <w:spacing w:before="158" w:line="224" w:lineRule="auto"/>
        <w:ind w:firstLine="652" w:firstLineChars="20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三、支出决算情况说明</w:t>
      </w:r>
    </w:p>
    <w:p w14:paraId="18759E87">
      <w:pPr>
        <w:spacing w:before="251" w:line="368" w:lineRule="auto"/>
        <w:ind w:left="21" w:firstLine="645"/>
        <w:rPr>
          <w:rFonts w:ascii="仿宋" w:hAnsi="仿宋" w:eastAsia="仿宋" w:cs="仿宋"/>
          <w:spacing w:val="-2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本年支出合计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2086.80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万元，其中：基本支出</w:t>
      </w:r>
      <w:r>
        <w:rPr>
          <w:rFonts w:hint="eastAsia" w:ascii="仿宋" w:hAnsi="仿宋" w:eastAsia="仿宋" w:cs="仿宋"/>
          <w:spacing w:val="24"/>
          <w:sz w:val="31"/>
          <w:szCs w:val="31"/>
          <w:lang w:eastAsia="zh-CN"/>
        </w:rPr>
        <w:t>863.07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比上年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减少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44.07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万元，下降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4.86</w:t>
      </w:r>
      <w:r>
        <w:rPr>
          <w:rFonts w:ascii="宋体" w:hAnsi="宋体" w:eastAsia="宋体" w:cs="宋体"/>
          <w:spacing w:val="7"/>
          <w:sz w:val="31"/>
          <w:szCs w:val="31"/>
          <w:lang w:eastAsia="zh-CN"/>
        </w:rPr>
        <w:t>%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，主要是</w:t>
      </w:r>
      <w:r>
        <w:rPr>
          <w:rFonts w:ascii="仿宋" w:hAnsi="仿宋" w:eastAsia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 xml:space="preserve">人员减少 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项目支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出</w:t>
      </w:r>
      <w:r>
        <w:rPr>
          <w:rFonts w:hint="eastAsia" w:ascii="仿宋" w:hAnsi="仿宋" w:eastAsia="仿宋" w:cs="仿宋"/>
          <w:spacing w:val="47"/>
          <w:sz w:val="31"/>
          <w:szCs w:val="31"/>
          <w:lang w:eastAsia="zh-CN"/>
        </w:rPr>
        <w:t>1223.73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比上年增加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298.97</w:t>
      </w:r>
      <w:r>
        <w:rPr>
          <w:rFonts w:ascii="仿宋" w:hAnsi="仿宋" w:eastAsia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万元，增长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 xml:space="preserve"> 32.33</w:t>
      </w:r>
      <w:r>
        <w:rPr>
          <w:rFonts w:ascii="宋体" w:hAnsi="宋体" w:eastAsia="宋体" w:cs="宋体"/>
          <w:spacing w:val="3"/>
          <w:sz w:val="31"/>
          <w:szCs w:val="31"/>
          <w:lang w:eastAsia="zh-CN"/>
        </w:rPr>
        <w:t>%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，主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要是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项目增多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；</w:t>
      </w:r>
    </w:p>
    <w:p w14:paraId="09253A48">
      <w:pPr>
        <w:spacing w:line="356" w:lineRule="auto"/>
        <w:rPr>
          <w:rFonts w:hint="eastAsia" w:ascii="仿宋" w:hAnsi="仿宋" w:eastAsia="仿宋" w:cs="仿宋"/>
          <w:sz w:val="31"/>
          <w:szCs w:val="31"/>
          <w:lang w:val="en-US" w:eastAsia="zh-CN"/>
        </w:rPr>
        <w:sectPr>
          <w:footerReference r:id="rId13" w:type="default"/>
          <w:pgSz w:w="11907" w:h="16839"/>
          <w:pgMar w:top="1431" w:right="1714" w:bottom="1153" w:left="1785" w:header="0" w:footer="965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本单位没有上级补助收入、事业收入、经营收入、附属单位上缴收入、其他收入财政拨款。</w:t>
      </w:r>
    </w:p>
    <w:p w14:paraId="2D54CB36">
      <w:pPr>
        <w:spacing w:before="251" w:line="368" w:lineRule="auto"/>
        <w:ind w:left="21" w:firstLine="645"/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</w:pPr>
    </w:p>
    <w:p w14:paraId="3AF89208">
      <w:pPr>
        <w:spacing w:before="101" w:line="360" w:lineRule="auto"/>
        <w:ind w:firstLine="652" w:firstLineChars="20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四、财政拨款收入支出决算总体情况说明</w:t>
      </w:r>
    </w:p>
    <w:p w14:paraId="02E47530">
      <w:pPr>
        <w:spacing w:before="50" w:line="360" w:lineRule="auto"/>
        <w:ind w:left="33" w:right="86" w:firstLine="641"/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pacing w:val="4"/>
          <w:sz w:val="31"/>
          <w:szCs w:val="31"/>
          <w:lang w:eastAsia="zh-CN"/>
        </w:rPr>
        <w:t>2023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年度收、支总计均为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2084.20、2086.80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万元。与</w:t>
      </w:r>
      <w:r>
        <w:rPr>
          <w:rFonts w:ascii="宋体" w:hAnsi="宋体" w:eastAsia="宋体" w:cs="宋体"/>
          <w:spacing w:val="4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年度相比，收、支总计各增加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229.26、254.9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万元，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收入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增长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12.36</w:t>
      </w:r>
      <w:r>
        <w:rPr>
          <w:rFonts w:ascii="宋体" w:hAnsi="宋体" w:eastAsia="宋体" w:cs="宋体"/>
          <w:spacing w:val="4"/>
          <w:sz w:val="31"/>
          <w:szCs w:val="31"/>
          <w:lang w:eastAsia="zh-CN"/>
        </w:rPr>
        <w:t>%</w:t>
      </w:r>
      <w:r>
        <w:rPr>
          <w:rFonts w:hint="eastAsia" w:ascii="宋体" w:hAnsi="宋体" w:eastAsia="宋体" w:cs="宋体"/>
          <w:spacing w:val="4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支出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增长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13.91</w:t>
      </w:r>
      <w:r>
        <w:rPr>
          <w:rFonts w:ascii="宋体" w:hAnsi="宋体" w:eastAsia="宋体" w:cs="宋体"/>
          <w:spacing w:val="4"/>
          <w:sz w:val="31"/>
          <w:szCs w:val="31"/>
          <w:lang w:eastAsia="zh-CN"/>
        </w:rPr>
        <w:t>%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。主</w:t>
      </w:r>
      <w:r>
        <w:rPr>
          <w:rFonts w:ascii="仿宋" w:hAnsi="仿宋" w:eastAsia="仿宋" w:cs="仿宋"/>
          <w:spacing w:val="-10"/>
          <w:sz w:val="31"/>
          <w:szCs w:val="31"/>
          <w:lang w:eastAsia="zh-CN"/>
        </w:rPr>
        <w:t>要原因：</w:t>
      </w:r>
      <w:r>
        <w:rPr>
          <w:rFonts w:hint="eastAsia" w:ascii="仿宋" w:hAnsi="仿宋" w:eastAsia="仿宋"/>
          <w:sz w:val="32"/>
          <w:szCs w:val="30"/>
          <w:lang w:eastAsia="zh-CN"/>
        </w:rPr>
        <w:t>职工工资增加、项目收入支出增加。</w:t>
      </w:r>
    </w:p>
    <w:p w14:paraId="2271AAA0">
      <w:pPr>
        <w:pStyle w:val="2"/>
        <w:spacing w:line="286" w:lineRule="auto"/>
        <w:rPr>
          <w:rFonts w:hint="eastAsia" w:eastAsiaTheme="minorEastAsia"/>
          <w:lang w:eastAsia="zh-CN"/>
        </w:rPr>
      </w:pPr>
    </w:p>
    <w:p w14:paraId="67CDD1C1">
      <w:pPr>
        <w:spacing w:before="101" w:line="224" w:lineRule="auto"/>
        <w:ind w:firstLine="652" w:firstLineChars="20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五、一般公共预算财政拨款支出决算情况说明</w:t>
      </w:r>
    </w:p>
    <w:p w14:paraId="107B77EB">
      <w:pPr>
        <w:spacing w:before="248" w:line="223" w:lineRule="auto"/>
        <w:ind w:firstLine="618" w:firstLineChars="200"/>
        <w:outlineLvl w:val="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  <w:lang w:eastAsia="zh-CN"/>
        </w:rPr>
        <w:t>一</w:t>
      </w:r>
      <w:r>
        <w:rPr>
          <w:rFonts w:ascii="仿宋" w:hAnsi="仿宋" w:eastAsia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  <w:lang w:eastAsia="zh-CN"/>
        </w:rPr>
        <w:t>）一般公共预算财政拨款支出决算总体情况</w:t>
      </w:r>
    </w:p>
    <w:p w14:paraId="44860769">
      <w:pPr>
        <w:spacing w:before="160" w:line="357" w:lineRule="auto"/>
        <w:ind w:left="68" w:right="90"/>
        <w:rPr>
          <w:rFonts w:hint="eastAsia" w:ascii="仿宋" w:hAnsi="仿宋" w:eastAsia="仿宋" w:cs="仿宋"/>
          <w:spacing w:val="-53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4"/>
          <w:sz w:val="31"/>
          <w:szCs w:val="31"/>
          <w:lang w:eastAsia="zh-CN"/>
        </w:rPr>
        <w:t>2023</w:t>
      </w:r>
      <w:r>
        <w:rPr>
          <w:rFonts w:ascii="宋体" w:hAnsi="宋体" w:eastAsia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年度一般公共预算财政拨款支出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2033.14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万元，占本年支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 xml:space="preserve">出合计的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97.43</w:t>
      </w:r>
      <w:r>
        <w:rPr>
          <w:rFonts w:ascii="宋体" w:hAnsi="宋体" w:eastAsia="宋体" w:cs="宋体"/>
          <w:spacing w:val="3"/>
          <w:sz w:val="31"/>
          <w:szCs w:val="31"/>
          <w:lang w:eastAsia="zh-CN"/>
        </w:rPr>
        <w:t>%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。与</w:t>
      </w:r>
      <w:r>
        <w:rPr>
          <w:rFonts w:ascii="宋体" w:hAnsi="宋体" w:eastAsia="宋体" w:cs="宋体"/>
          <w:spacing w:val="3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年度相比，一般公共预算财政拨款支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出增加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478.24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万元，增长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30.76</w:t>
      </w:r>
      <w:r>
        <w:rPr>
          <w:rFonts w:ascii="宋体" w:hAnsi="宋体" w:eastAsia="宋体" w:cs="宋体"/>
          <w:spacing w:val="-1"/>
          <w:sz w:val="31"/>
          <w:szCs w:val="31"/>
          <w:lang w:eastAsia="zh-CN"/>
        </w:rPr>
        <w:t>%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。主要原因：</w:t>
      </w:r>
      <w:r>
        <w:rPr>
          <w:rFonts w:hint="eastAsia" w:ascii="仿宋" w:hAnsi="仿宋" w:eastAsia="仿宋"/>
          <w:sz w:val="32"/>
          <w:szCs w:val="30"/>
          <w:lang w:eastAsia="zh-CN"/>
        </w:rPr>
        <w:t>职工工资增加、项目收入支出增加</w:t>
      </w:r>
      <w:r>
        <w:rPr>
          <w:rFonts w:hint="eastAsia" w:ascii="仿宋" w:hAnsi="仿宋" w:eastAsia="仿宋" w:cs="仿宋"/>
          <w:spacing w:val="-53"/>
          <w:sz w:val="31"/>
          <w:szCs w:val="31"/>
          <w:lang w:eastAsia="zh-CN"/>
        </w:rPr>
        <w:t>。</w:t>
      </w:r>
    </w:p>
    <w:p w14:paraId="5078C668">
      <w:pPr>
        <w:spacing w:before="51" w:line="223" w:lineRule="auto"/>
        <w:ind w:left="659"/>
        <w:outlineLvl w:val="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  <w:lang w:eastAsia="zh-CN"/>
        </w:rPr>
        <w:t>（二）</w:t>
      </w:r>
      <w:r>
        <w:rPr>
          <w:rFonts w:ascii="仿宋" w:hAnsi="仿宋" w:eastAsia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  <w:lang w:eastAsia="zh-CN"/>
        </w:rPr>
        <w:t>一般公共预算财政拨款支出决算结构情况</w:t>
      </w:r>
    </w:p>
    <w:p w14:paraId="14E83542">
      <w:pPr>
        <w:spacing w:before="160" w:line="357" w:lineRule="auto"/>
        <w:ind w:left="68" w:right="90"/>
        <w:rPr>
          <w:rFonts w:hint="eastAsia" w:ascii="仿宋" w:hAnsi="仿宋" w:eastAsia="仿宋" w:cs="仿宋"/>
          <w:spacing w:val="-5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2023年度一般公共预算财政拨款支出2033.14万元，主要用于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以下方面：一般公共服务支出86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2.99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万元，占42.45%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;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文化旅游体育与传媒支出9.52万元，占0.47%；社会保障和就业支出109.90万元，占5.40%；卫生健康支出58.1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万元，占2.86%；节能环保支出378.71万元，占18.63%;城乡社区支出82.1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万元，占4.04%；农林水支出462.45万元，占22.74%；交通运输支出6.45万元,占0.32%;住房保障支出52.76万元，占2.60%；灾害防治及应急管理支出10万元，占0.49%；</w:t>
      </w:r>
    </w:p>
    <w:p w14:paraId="41D6A277">
      <w:pPr>
        <w:spacing w:before="51" w:line="223" w:lineRule="auto"/>
        <w:ind w:left="659"/>
        <w:outlineLvl w:val="2"/>
        <w:rPr>
          <w:rFonts w:ascii="仿宋" w:hAnsi="仿宋" w:eastAsia="仿宋" w:cs="仿宋"/>
          <w:b/>
          <w:bCs/>
          <w:spacing w:val="4"/>
          <w:sz w:val="31"/>
          <w:szCs w:val="31"/>
          <w:lang w:eastAsia="zh-CN"/>
        </w:rPr>
        <w:sectPr>
          <w:footerReference r:id="rId14" w:type="default"/>
          <w:pgSz w:w="11907" w:h="16839"/>
          <w:pgMar w:top="1431" w:right="1714" w:bottom="1153" w:left="1785" w:header="0" w:footer="965" w:gutter="0"/>
          <w:pgNumType w:fmt="decimal"/>
          <w:cols w:space="720" w:num="1"/>
        </w:sectPr>
      </w:pPr>
    </w:p>
    <w:p w14:paraId="183F03A8">
      <w:pPr>
        <w:spacing w:before="251" w:line="364" w:lineRule="auto"/>
        <w:ind w:right="7" w:firstLine="638" w:firstLineChars="200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  <w:lang w:eastAsia="zh-CN"/>
        </w:rPr>
        <w:t>（三）</w:t>
      </w:r>
      <w:r>
        <w:rPr>
          <w:rFonts w:ascii="仿宋" w:hAnsi="仿宋" w:eastAsia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  <w:lang w:eastAsia="zh-CN"/>
        </w:rPr>
        <w:t>一般公共预算财政拨款支出决算具体情况</w:t>
      </w:r>
    </w:p>
    <w:p w14:paraId="5A909031"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2023年度一般公共预算财政拨款支出年初预算为</w:t>
      </w:r>
      <w:r>
        <w:rPr>
          <w:rFonts w:hint="eastAsia" w:ascii="仿宋" w:hAnsi="仿宋" w:eastAsia="仿宋" w:cs="仿宋"/>
          <w:spacing w:val="33"/>
          <w:sz w:val="31"/>
          <w:szCs w:val="31"/>
          <w:lang w:eastAsia="zh-CN"/>
        </w:rPr>
        <w:t xml:space="preserve"> 2033.25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万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元，支出决算为2033.1442万元，完成年初预算的99.99%。其中：</w:t>
      </w:r>
    </w:p>
    <w:p w14:paraId="6E52DAFC">
      <w:pPr>
        <w:spacing w:before="54" w:line="361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12"/>
          <w:sz w:val="31"/>
          <w:szCs w:val="31"/>
          <w:lang w:eastAsia="zh-CN"/>
        </w:rPr>
        <w:t>1.一般公共服务（类）财政事务（款）行政运行（项）</w:t>
      </w:r>
      <w:r>
        <w:rPr>
          <w:rFonts w:hint="eastAsia" w:ascii="仿宋" w:hAnsi="仿宋" w:eastAsia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12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年初预算为</w:t>
      </w:r>
      <w:r>
        <w:rPr>
          <w:rFonts w:hint="eastAsia" w:ascii="仿宋" w:hAnsi="仿宋" w:eastAsia="仿宋" w:cs="仿宋"/>
          <w:spacing w:val="59"/>
          <w:sz w:val="31"/>
          <w:szCs w:val="31"/>
          <w:lang w:eastAsia="zh-CN"/>
        </w:rPr>
        <w:t>863</w:t>
      </w: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万元，</w:t>
      </w:r>
      <w:r>
        <w:rPr>
          <w:rFonts w:hint="eastAsia" w:ascii="仿宋" w:hAnsi="仿宋" w:eastAsia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支出决算为</w:t>
      </w:r>
      <w:r>
        <w:rPr>
          <w:rFonts w:hint="eastAsia" w:ascii="仿宋" w:hAnsi="仿宋" w:eastAsia="仿宋" w:cs="仿宋"/>
          <w:spacing w:val="58"/>
          <w:sz w:val="31"/>
          <w:szCs w:val="31"/>
          <w:lang w:eastAsia="zh-CN"/>
        </w:rPr>
        <w:t>862.99</w:t>
      </w: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万元，完成年初预算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的99.99%。决算数大于预算数的主要原因是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根据实际支出核算。</w:t>
      </w:r>
    </w:p>
    <w:p w14:paraId="168C2649">
      <w:pPr>
        <w:spacing w:line="35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2.文化旅游体育与传媒支出（类）文化和旅游（款）、其他文化和旅游支出。年初预算为9.53万元，支出决算为9.52万元，完成年初预算的99.90%。决算数（小）于预算数的主要原因是：根据实际支出核算。</w:t>
      </w:r>
    </w:p>
    <w:p w14:paraId="79C64E22">
      <w:pPr>
        <w:spacing w:line="35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3. 社会保障和就业支出（类）人力资源和社会保障管理事务</w:t>
      </w:r>
    </w:p>
    <w:p w14:paraId="59F68B8F">
      <w:pPr>
        <w:spacing w:line="35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 xml:space="preserve">（款）、其他人力资源和社会保障管理事务支出（项）。年初预算为109.90万元，支出决算为109.889万元，完成年初预算的99.99%。决算数（小）于预算数的主要原因是：根据实际支出核算。    </w:t>
      </w:r>
    </w:p>
    <w:p w14:paraId="4D81ABA6">
      <w:pPr>
        <w:spacing w:line="35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4. 卫生健康支出（类）基层医疗卫生机构（款）、其他基层医疗卫生机构支出（项）。年初预算为58.1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 xml:space="preserve">万元，支出决算为58.185万元，完成年初预算的99.99%。决算数（小）于预算数的主要原因是：根据实际支出核算。 </w:t>
      </w:r>
    </w:p>
    <w:p w14:paraId="6FEC4679">
      <w:pPr>
        <w:spacing w:line="35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5. 城乡社区支出（类）城乡社区管理事务（款）、其他城乡社区管理事务支出（项）。年初预算为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82.18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万元，支出决算为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82.1758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万元，完成年初预算的99.99%。决算数（小）于预算数的主要原因是：根据实际支出核算。</w:t>
      </w:r>
    </w:p>
    <w:p w14:paraId="513E13C6">
      <w:pPr>
        <w:spacing w:line="35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6. 农林水支出（类）农业农村（款）、事业运行（项）。年初预算为462.50万元，支出决算为462.45万元，完成年初预算的99.98%。决算数（小）于预算数的主要原因是：根据实际支出核算。</w:t>
      </w:r>
    </w:p>
    <w:p w14:paraId="5F7A1405">
      <w:pPr>
        <w:spacing w:line="35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7.交通运输支出年初预算为6.46万元，支出决算为6.4505万元，完成年初预算的99.85%。决算数（小）于预算数的主要原因是：根据实际支出核算。</w:t>
      </w:r>
    </w:p>
    <w:p w14:paraId="4808F46C">
      <w:pPr>
        <w:spacing w:line="35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8. 住房保障支出（类）住房改革支出（款）、住房公积金</w:t>
      </w:r>
    </w:p>
    <w:p w14:paraId="6878D781">
      <w:pPr>
        <w:spacing w:line="35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（项）。年初预算为52.77万元，支出决算为52.7616万元，完成年初预算的99.99%。决算数（小）于预算数的主要原因是：根据实际支出核算。</w:t>
      </w:r>
    </w:p>
    <w:p w14:paraId="5319AE6F">
      <w:pPr>
        <w:spacing w:line="35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9. 灾害防治及应急管理支出（类）消防事务（款）、其他消防事务支出（项）。年初预算为10万元，支出决算为10万元，完成年初预算的100%。</w:t>
      </w:r>
    </w:p>
    <w:p w14:paraId="43DA185B">
      <w:pPr>
        <w:spacing w:line="35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10. 节能环保支出（类）自然生态保护（款）、农村环境保护（项）。年初预算为378.72万元，支出决算为378.7104万元，完成年初预算的99.99%。决算数（小）于预算数的主要原因是：根据实际支出核算。</w:t>
      </w:r>
    </w:p>
    <w:p w14:paraId="77428532">
      <w:pPr>
        <w:pStyle w:val="2"/>
        <w:spacing w:line="256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</w:p>
    <w:p w14:paraId="1E1DAD13">
      <w:pPr>
        <w:spacing w:before="101" w:line="224" w:lineRule="auto"/>
        <w:ind w:left="677"/>
        <w:rPr>
          <w:rFonts w:hint="eastAsia" w:ascii="仿宋" w:hAnsi="仿宋" w:eastAsia="仿宋" w:cs="仿宋"/>
          <w:b/>
          <w:bCs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8"/>
          <w:sz w:val="31"/>
          <w:szCs w:val="31"/>
          <w:lang w:eastAsia="zh-CN"/>
        </w:rPr>
        <w:t>六、一般公共预算财政拨款基本支出决算情况说明</w:t>
      </w:r>
    </w:p>
    <w:p w14:paraId="2DD9FDEB">
      <w:pPr>
        <w:spacing w:before="247" w:line="357" w:lineRule="auto"/>
        <w:ind w:left="64" w:right="96" w:firstLine="607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2023年度一般公共预算财政拨款基本支出</w:t>
      </w:r>
      <w:r>
        <w:rPr>
          <w:rFonts w:hint="eastAsia" w:ascii="仿宋" w:hAnsi="仿宋" w:eastAsia="仿宋" w:cs="仿宋"/>
          <w:spacing w:val="33"/>
          <w:sz w:val="31"/>
          <w:szCs w:val="31"/>
          <w:lang w:eastAsia="zh-CN"/>
        </w:rPr>
        <w:t>863.07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万元，其</w:t>
      </w:r>
      <w:r>
        <w:rPr>
          <w:rFonts w:hint="eastAsia" w:ascii="仿宋" w:hAnsi="仿宋" w:eastAsia="仿宋" w:cs="仿宋"/>
          <w:spacing w:val="-30"/>
          <w:sz w:val="31"/>
          <w:szCs w:val="31"/>
          <w:lang w:eastAsia="zh-CN"/>
        </w:rPr>
        <w:t>中：</w:t>
      </w:r>
    </w:p>
    <w:p w14:paraId="3FE0DD8F">
      <w:pPr>
        <w:spacing w:before="53" w:line="367" w:lineRule="auto"/>
        <w:ind w:right="98"/>
        <w:jc w:val="both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人员经费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760.48</w:t>
      </w: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万元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，主要包括：基本工资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333.9061万元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、津贴补贴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59.927万元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、奖金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43.0671万元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、绩效工资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104.058万元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、机关事业单位基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本养老保险缴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84.5443万元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、职工基本医疗保险缴费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41.318万元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其他社会保障缴费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0.8575万元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、住房公积金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52.7616万元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抚恤金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25.1145万元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、生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活补助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4.0644万元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、奖励金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10.864万元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。</w:t>
      </w:r>
    </w:p>
    <w:p w14:paraId="5274C9FD">
      <w:pPr>
        <w:spacing w:before="158" w:line="356" w:lineRule="auto"/>
        <w:ind w:right="161"/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  <w:highlight w:val="none"/>
          <w:lang w:eastAsia="zh-CN"/>
        </w:rPr>
        <w:t>公用经费</w:t>
      </w:r>
      <w:r>
        <w:rPr>
          <w:rFonts w:hint="eastAsia" w:ascii="仿宋" w:hAnsi="仿宋" w:eastAsia="仿宋" w:cs="仿宋"/>
          <w:spacing w:val="-1"/>
          <w:sz w:val="31"/>
          <w:szCs w:val="31"/>
          <w:highlight w:val="none"/>
          <w:lang w:eastAsia="zh-CN"/>
        </w:rPr>
        <w:t>102.59</w:t>
      </w:r>
      <w:r>
        <w:rPr>
          <w:rFonts w:ascii="仿宋" w:hAnsi="仿宋" w:eastAsia="仿宋" w:cs="仿宋"/>
          <w:b/>
          <w:bCs/>
          <w:spacing w:val="-1"/>
          <w:sz w:val="31"/>
          <w:szCs w:val="31"/>
          <w:highlight w:val="none"/>
          <w:lang w:eastAsia="zh-CN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  <w:highlight w:val="none"/>
          <w:lang w:eastAsia="zh-CN"/>
        </w:rPr>
        <w:t>，主要包括：办公费</w:t>
      </w:r>
      <w:r>
        <w:rPr>
          <w:rFonts w:hint="eastAsia" w:ascii="仿宋" w:hAnsi="仿宋" w:eastAsia="仿宋" w:cs="仿宋"/>
          <w:spacing w:val="-1"/>
          <w:sz w:val="31"/>
          <w:szCs w:val="31"/>
          <w:highlight w:val="none"/>
          <w:lang w:val="en-US" w:eastAsia="zh-CN"/>
        </w:rPr>
        <w:t>22.5799万元</w:t>
      </w:r>
      <w:r>
        <w:rPr>
          <w:rFonts w:ascii="仿宋" w:hAnsi="仿宋" w:eastAsia="仿宋" w:cs="仿宋"/>
          <w:spacing w:val="-1"/>
          <w:sz w:val="31"/>
          <w:szCs w:val="31"/>
          <w:highlight w:val="none"/>
          <w:lang w:eastAsia="zh-CN"/>
        </w:rPr>
        <w:t>、印刷费</w:t>
      </w:r>
      <w:r>
        <w:rPr>
          <w:rFonts w:hint="eastAsia" w:ascii="仿宋" w:hAnsi="仿宋" w:eastAsia="仿宋" w:cs="仿宋"/>
          <w:spacing w:val="-1"/>
          <w:sz w:val="31"/>
          <w:szCs w:val="31"/>
          <w:highlight w:val="none"/>
          <w:lang w:val="en-US" w:eastAsia="zh-CN"/>
        </w:rPr>
        <w:t>0.699万元</w:t>
      </w:r>
      <w:r>
        <w:rPr>
          <w:rFonts w:ascii="仿宋" w:hAnsi="仿宋" w:eastAsia="仿宋" w:cs="仿宋"/>
          <w:spacing w:val="-1"/>
          <w:sz w:val="31"/>
          <w:szCs w:val="31"/>
          <w:highlight w:val="none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  <w:highlight w:val="none"/>
          <w:lang w:eastAsia="zh-CN"/>
        </w:rPr>
        <w:t>水费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1.30万元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  <w:lang w:eastAsia="zh-CN"/>
        </w:rPr>
        <w:t>、电费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3万元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  <w:lang w:eastAsia="zh-CN"/>
        </w:rPr>
        <w:t>、邮电费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0.4879万元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  <w:lang w:eastAsia="zh-CN"/>
        </w:rPr>
        <w:t>、取暖费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0.9141万元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  <w:lang w:eastAsia="zh-CN"/>
        </w:rPr>
        <w:t>、物业</w:t>
      </w:r>
      <w:r>
        <w:rPr>
          <w:rFonts w:ascii="仿宋" w:hAnsi="仿宋" w:eastAsia="仿宋" w:cs="仿宋"/>
          <w:spacing w:val="8"/>
          <w:sz w:val="31"/>
          <w:szCs w:val="31"/>
          <w:highlight w:val="none"/>
          <w:lang w:eastAsia="zh-CN"/>
        </w:rPr>
        <w:t>管理费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0.853万元</w:t>
      </w:r>
      <w:r>
        <w:rPr>
          <w:rFonts w:ascii="仿宋" w:hAnsi="仿宋" w:eastAsia="仿宋" w:cs="仿宋"/>
          <w:spacing w:val="8"/>
          <w:sz w:val="31"/>
          <w:szCs w:val="31"/>
          <w:highlight w:val="none"/>
          <w:lang w:eastAsia="zh-CN"/>
        </w:rPr>
        <w:t>、差旅</w:t>
      </w:r>
      <w:r>
        <w:rPr>
          <w:rFonts w:ascii="仿宋" w:hAnsi="仿宋" w:eastAsia="仿宋" w:cs="仿宋"/>
          <w:sz w:val="31"/>
          <w:szCs w:val="31"/>
          <w:highlight w:val="none"/>
          <w:lang w:eastAsia="zh-CN"/>
        </w:rPr>
        <w:t>费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11.9134万元</w:t>
      </w:r>
      <w:r>
        <w:rPr>
          <w:rFonts w:ascii="仿宋" w:hAnsi="仿宋" w:eastAsia="仿宋" w:cs="仿宋"/>
          <w:sz w:val="31"/>
          <w:szCs w:val="31"/>
          <w:highlight w:val="none"/>
          <w:lang w:eastAsia="zh-CN"/>
        </w:rPr>
        <w:t>、</w:t>
      </w:r>
      <w:r>
        <w:rPr>
          <w:rFonts w:ascii="仿宋" w:hAnsi="仿宋" w:eastAsia="仿宋" w:cs="仿宋"/>
          <w:sz w:val="31"/>
          <w:szCs w:val="31"/>
          <w:lang w:eastAsia="zh-CN"/>
        </w:rPr>
        <w:t>维修（护）费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1.731万元</w:t>
      </w:r>
      <w:r>
        <w:rPr>
          <w:rFonts w:ascii="仿宋" w:hAnsi="仿宋" w:eastAsia="仿宋" w:cs="仿宋"/>
          <w:sz w:val="31"/>
          <w:szCs w:val="31"/>
          <w:lang w:eastAsia="zh-CN"/>
        </w:rPr>
        <w:t>、租赁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费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8.113万元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专用材料费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10.3485万元、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劳务费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14.3295万元、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工会经费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0.7万元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、公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务用车运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行维护费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4.0824万元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、其他交通费用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12.56万元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、其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他商品和服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务支出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8.9734万元。</w:t>
      </w:r>
    </w:p>
    <w:p w14:paraId="65C8B721">
      <w:pPr>
        <w:spacing w:before="158" w:line="356" w:lineRule="auto"/>
        <w:ind w:right="161"/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</w:pPr>
    </w:p>
    <w:p w14:paraId="5687819A">
      <w:pPr>
        <w:spacing w:before="101" w:line="224" w:lineRule="auto"/>
        <w:ind w:left="50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  <w:lang w:eastAsia="zh-CN"/>
        </w:rPr>
        <w:t>七、政府性基金预算财政拨款收入支出决算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情况说明</w:t>
      </w:r>
    </w:p>
    <w:p w14:paraId="0AF01A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358" w:lineRule="auto"/>
        <w:ind w:left="38" w:firstLine="474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33"/>
          <w:sz w:val="31"/>
          <w:szCs w:val="31"/>
          <w:lang w:eastAsia="zh-CN"/>
        </w:rPr>
        <w:t>2023年度政府性基金预算财政拨款年初结转和结余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 xml:space="preserve">  万元；本年收入53.66万元，比上年减少223.34万元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，下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降80.63%，主要是</w:t>
      </w:r>
      <w:r>
        <w:rPr>
          <w:rFonts w:hint="eastAsia" w:ascii="仿宋" w:hAnsi="仿宋" w:eastAsia="仿宋" w:cs="仿宋"/>
          <w:spacing w:val="33"/>
          <w:sz w:val="31"/>
          <w:szCs w:val="31"/>
          <w:lang w:eastAsia="zh-CN"/>
        </w:rPr>
        <w:t>政府性基金预算财政拨款减少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；本年支出53.66万元，</w:t>
      </w:r>
      <w:r>
        <w:rPr>
          <w:rFonts w:hint="eastAsia" w:ascii="仿宋" w:hAnsi="仿宋" w:eastAsia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比上年减少223.34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万元，下降80.63%，主要是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主要是</w:t>
      </w:r>
      <w:r>
        <w:rPr>
          <w:rFonts w:hint="eastAsia" w:ascii="仿宋" w:hAnsi="仿宋" w:eastAsia="仿宋" w:cs="仿宋"/>
          <w:spacing w:val="33"/>
          <w:sz w:val="31"/>
          <w:szCs w:val="31"/>
          <w:lang w:eastAsia="zh-CN"/>
        </w:rPr>
        <w:t>政府性基金预算财政拨款减少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；年末结转和结余</w:t>
      </w:r>
      <w:r>
        <w:rPr>
          <w:rFonts w:hint="eastAsia" w:ascii="仿宋" w:hAnsi="仿宋" w:eastAsia="仿宋" w:cs="仿宋"/>
          <w:spacing w:val="48"/>
          <w:sz w:val="31"/>
          <w:szCs w:val="31"/>
          <w:lang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万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元。支出具体情况如下：</w:t>
      </w:r>
    </w:p>
    <w:p w14:paraId="3AA2D7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368" w:lineRule="auto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 xml:space="preserve"> </w:t>
      </w:r>
    </w:p>
    <w:p w14:paraId="108A24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368" w:lineRule="auto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sectPr>
          <w:footerReference r:id="rId15" w:type="default"/>
          <w:pgSz w:w="11907" w:h="16839"/>
          <w:pgMar w:top="1431" w:right="1714" w:bottom="1153" w:left="1785" w:header="0" w:footer="965" w:gutter="0"/>
          <w:pgNumType w:fmt="decimal"/>
          <w:cols w:space="720" w:num="1"/>
        </w:sectPr>
      </w:pPr>
    </w:p>
    <w:p w14:paraId="53AE87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358" w:lineRule="auto"/>
        <w:ind w:right="159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1.城乡社区支出（类）城乡社区管理事务（款）、其他城乡社区管理事务支出（项）。政府性基金财政拨款支出为53.66万元，主要用于农村基础设施建设支出、农业农村生态环境支出。完成年初预算的100%。</w:t>
      </w:r>
    </w:p>
    <w:p w14:paraId="39787231">
      <w:pPr>
        <w:spacing w:before="158" w:line="224" w:lineRule="auto"/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 xml:space="preserve"> </w:t>
      </w:r>
    </w:p>
    <w:p w14:paraId="787678B7">
      <w:pPr>
        <w:spacing w:before="158" w:line="224" w:lineRule="auto"/>
        <w:ind w:firstLine="324" w:firstLineChars="10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八、国有资本经营预算财政拨款支出决算情况说明</w:t>
      </w:r>
    </w:p>
    <w:p w14:paraId="6839B19A">
      <w:pPr>
        <w:spacing w:before="250" w:line="358" w:lineRule="auto"/>
        <w:ind w:right="159" w:firstLine="960" w:firstLineChars="300"/>
        <w:rPr>
          <w:rFonts w:hint="eastAsia" w:ascii="仿宋" w:hAnsi="仿宋" w:eastAsia="仿宋"/>
          <w:sz w:val="32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>本单位没有此项支出。</w:t>
      </w:r>
    </w:p>
    <w:p w14:paraId="51DD292C">
      <w:pPr>
        <w:spacing w:before="250" w:line="358" w:lineRule="auto"/>
        <w:ind w:right="159" w:firstLine="652" w:firstLineChars="20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九、财政拨款“三公”经费支出决算情况说明</w:t>
      </w:r>
    </w:p>
    <w:p w14:paraId="6396873B">
      <w:pPr>
        <w:spacing w:before="249" w:line="223" w:lineRule="auto"/>
        <w:ind w:left="659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一）“三公”经费财政拨款支出决算总体情况说明</w:t>
      </w:r>
    </w:p>
    <w:p w14:paraId="792CC7F9">
      <w:pPr>
        <w:spacing w:before="156" w:line="362" w:lineRule="auto"/>
        <w:ind w:left="41" w:firstLine="26"/>
        <w:jc w:val="both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2023年度“三公”经费财政拨款支出预算为4.275万元，支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出决算为4.0823万元，完成预算的95.49%；较2022年度减少 0.1927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万元，下降4.51%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。</w:t>
      </w:r>
    </w:p>
    <w:p w14:paraId="2E29EC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358" w:lineRule="auto"/>
        <w:ind w:left="659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（二）“三公”经费财政拨款支出决算具体情况说明</w:t>
      </w:r>
    </w:p>
    <w:p w14:paraId="62617916">
      <w:pPr>
        <w:spacing w:before="54" w:line="35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spacing w:val="21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21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公务用车购置及运行费预算为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4.275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pacing w:val="20"/>
          <w:sz w:val="31"/>
          <w:szCs w:val="31"/>
          <w:lang w:eastAsia="zh-CN"/>
        </w:rPr>
        <w:t>，支出决算为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4.0823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万元，完成预算的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95.49</w:t>
      </w:r>
      <w:r>
        <w:rPr>
          <w:rFonts w:ascii="宋体" w:hAnsi="宋体" w:eastAsia="宋体" w:cs="宋体"/>
          <w:spacing w:val="4"/>
          <w:sz w:val="31"/>
          <w:szCs w:val="31"/>
          <w:lang w:eastAsia="zh-CN"/>
        </w:rPr>
        <w:t>%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；较</w:t>
      </w:r>
      <w:r>
        <w:rPr>
          <w:rFonts w:ascii="宋体" w:hAnsi="宋体" w:eastAsia="宋体" w:cs="宋体"/>
          <w:spacing w:val="4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年度减少</w:t>
      </w:r>
      <w:r>
        <w:rPr>
          <w:rFonts w:hint="eastAsia" w:ascii="仿宋" w:hAnsi="仿宋" w:eastAsia="仿宋" w:cs="仿宋"/>
          <w:spacing w:val="75"/>
          <w:sz w:val="31"/>
          <w:szCs w:val="31"/>
          <w:lang w:eastAsia="zh-CN"/>
        </w:rPr>
        <w:t>0.192</w:t>
      </w:r>
      <w:r>
        <w:rPr>
          <w:rFonts w:hint="eastAsia" w:ascii="仿宋" w:hAnsi="仿宋" w:eastAsia="仿宋" w:cs="仿宋"/>
          <w:spacing w:val="75"/>
          <w:sz w:val="31"/>
          <w:szCs w:val="31"/>
          <w:lang w:val="en-US" w:eastAsia="zh-CN"/>
        </w:rPr>
        <w:t>7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万元，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下降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4.51</w:t>
      </w:r>
      <w:r>
        <w:rPr>
          <w:rFonts w:ascii="宋体" w:hAnsi="宋体" w:eastAsia="宋体" w:cs="宋体"/>
          <w:spacing w:val="6"/>
          <w:sz w:val="31"/>
          <w:szCs w:val="31"/>
          <w:lang w:eastAsia="zh-CN"/>
        </w:rPr>
        <w:t>%</w:t>
      </w: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。其中：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公务用车运行维护费支出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4.0823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万元，</w:t>
      </w:r>
      <w:r>
        <w:rPr>
          <w:rFonts w:hint="eastAsia" w:ascii="仿宋" w:hAnsi="仿宋" w:eastAsia="仿宋"/>
          <w:sz w:val="32"/>
          <w:szCs w:val="30"/>
          <w:lang w:eastAsia="zh-CN"/>
        </w:rPr>
        <w:t>主要是公务用车用油、保险、维修。</w:t>
      </w:r>
    </w:p>
    <w:p w14:paraId="7DF34191">
      <w:pPr>
        <w:spacing w:line="364" w:lineRule="auto"/>
        <w:ind w:firstLine="620" w:firstLineChars="200"/>
        <w:rPr>
          <w:rFonts w:hint="eastAsia" w:ascii="仿宋" w:hAnsi="仿宋" w:eastAsia="仿宋" w:cs="仿宋"/>
          <w:sz w:val="31"/>
          <w:szCs w:val="31"/>
          <w:lang w:eastAsia="zh-CN"/>
        </w:rPr>
      </w:pPr>
    </w:p>
    <w:p w14:paraId="7E8105DA">
      <w:pPr>
        <w:spacing w:line="364" w:lineRule="auto"/>
        <w:ind w:firstLine="620" w:firstLineChars="200"/>
        <w:rPr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本单位没有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因公出国（境）费、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公务用车购置费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公务接待费、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外事接待费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其他国内公务接待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支出。</w:t>
      </w:r>
    </w:p>
    <w:p w14:paraId="7C2F42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58" w:lineRule="auto"/>
        <w:ind w:right="156" w:firstLine="310" w:firstLineChars="100"/>
        <w:textAlignment w:val="baseline"/>
        <w:rPr>
          <w:rFonts w:ascii="仿宋" w:hAnsi="仿宋" w:eastAsia="仿宋" w:cs="仿宋"/>
          <w:sz w:val="31"/>
          <w:szCs w:val="31"/>
          <w:lang w:eastAsia="zh-CN"/>
        </w:rPr>
      </w:pPr>
    </w:p>
    <w:p w14:paraId="0F840BBA">
      <w:pPr>
        <w:spacing w:before="250" w:line="358" w:lineRule="auto"/>
        <w:ind w:right="159" w:firstLine="1280" w:firstLineChars="400"/>
        <w:rPr>
          <w:rFonts w:hint="eastAsia" w:ascii="仿宋" w:hAnsi="仿宋" w:eastAsia="仿宋"/>
          <w:sz w:val="32"/>
          <w:szCs w:val="30"/>
          <w:lang w:val="en-US" w:eastAsia="zh-CN"/>
        </w:rPr>
        <w:sectPr>
          <w:footerReference r:id="rId16" w:type="default"/>
          <w:pgSz w:w="11907" w:h="16839"/>
          <w:pgMar w:top="1431" w:right="1641" w:bottom="1153" w:left="1785" w:header="0" w:footer="965" w:gutter="0"/>
          <w:pgNumType w:fmt="decimal"/>
          <w:cols w:space="720" w:num="1"/>
        </w:sectPr>
      </w:pPr>
    </w:p>
    <w:p w14:paraId="4647482D">
      <w:pPr>
        <w:pStyle w:val="2"/>
        <w:spacing w:line="287" w:lineRule="auto"/>
        <w:rPr>
          <w:lang w:eastAsia="zh-CN"/>
        </w:rPr>
      </w:pPr>
    </w:p>
    <w:p w14:paraId="3E8CEC90">
      <w:pPr>
        <w:spacing w:before="101" w:line="224" w:lineRule="auto"/>
        <w:ind w:left="750"/>
        <w:outlineLvl w:val="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十、关于</w:t>
      </w:r>
      <w:r>
        <w:rPr>
          <w:rFonts w:ascii="黑体" w:hAnsi="黑体" w:eastAsia="黑体" w:cs="黑体"/>
          <w:spacing w:val="-52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2023</w:t>
      </w:r>
      <w:r>
        <w:rPr>
          <w:rFonts w:ascii="黑体" w:hAnsi="黑体" w:eastAsia="黑体" w:cs="黑体"/>
          <w:spacing w:val="-63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年度绩效评价情况说明</w:t>
      </w:r>
    </w:p>
    <w:p w14:paraId="7FE5AE6C">
      <w:pPr>
        <w:spacing w:line="364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</w:p>
    <w:p w14:paraId="7B58D770">
      <w:pPr>
        <w:spacing w:line="364" w:lineRule="auto"/>
        <w:ind w:firstLine="1240" w:firstLineChars="40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本单位年初未列项目支出。</w:t>
      </w:r>
    </w:p>
    <w:p w14:paraId="33EAC6CE">
      <w:pPr>
        <w:spacing w:before="100" w:line="224" w:lineRule="auto"/>
        <w:ind w:left="671"/>
        <w:rPr>
          <w:rFonts w:ascii="黑体" w:hAnsi="黑体" w:eastAsia="黑体" w:cs="黑体"/>
          <w:spacing w:val="6"/>
          <w:sz w:val="31"/>
          <w:szCs w:val="31"/>
          <w:lang w:eastAsia="zh-CN"/>
        </w:rPr>
      </w:pPr>
    </w:p>
    <w:p w14:paraId="6D08FFD6">
      <w:pPr>
        <w:spacing w:before="100" w:line="224" w:lineRule="auto"/>
        <w:ind w:left="67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十一、其他重要事项情况说明</w:t>
      </w:r>
    </w:p>
    <w:p w14:paraId="76A81109">
      <w:pPr>
        <w:spacing w:before="248" w:line="222" w:lineRule="auto"/>
        <w:ind w:left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一）机关运行经费执行情况说明</w:t>
      </w:r>
    </w:p>
    <w:p w14:paraId="34A9BB9A">
      <w:pPr>
        <w:spacing w:before="251" w:line="357" w:lineRule="auto"/>
        <w:ind w:left="19" w:right="170" w:firstLine="65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7"/>
          <w:sz w:val="31"/>
          <w:szCs w:val="31"/>
          <w:lang w:eastAsia="zh-CN"/>
        </w:rPr>
        <w:t>2023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年度机关运行经费支出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91、9449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万元，较</w:t>
      </w:r>
      <w:r>
        <w:rPr>
          <w:rFonts w:ascii="宋体" w:hAnsi="宋体" w:eastAsia="宋体" w:cs="宋体"/>
          <w:spacing w:val="7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年度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减少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万元，降低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-4"/>
          <w:sz w:val="31"/>
          <w:szCs w:val="31"/>
          <w:lang w:eastAsia="zh-CN"/>
        </w:rPr>
        <w:t>%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，主要是</w:t>
      </w:r>
      <w:r>
        <w:rPr>
          <w:rFonts w:ascii="仿宋" w:hAnsi="仿宋" w:eastAsia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/>
          <w:sz w:val="32"/>
        </w:rPr>
        <w:t>事业单位经费减少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。</w:t>
      </w:r>
    </w:p>
    <w:p w14:paraId="530F57B5">
      <w:pPr>
        <w:spacing w:before="48" w:line="224" w:lineRule="auto"/>
        <w:ind w:left="659"/>
        <w:rPr>
          <w:rFonts w:ascii="仿宋" w:hAnsi="仿宋" w:eastAsia="仿宋" w:cs="仿宋"/>
          <w:spacing w:val="9"/>
          <w:sz w:val="31"/>
          <w:szCs w:val="31"/>
          <w:lang w:eastAsia="zh-CN"/>
        </w:rPr>
      </w:pPr>
    </w:p>
    <w:p w14:paraId="6D2839DA">
      <w:pPr>
        <w:spacing w:before="48" w:line="224" w:lineRule="auto"/>
        <w:ind w:left="659"/>
        <w:rPr>
          <w:rFonts w:ascii="仿宋" w:hAnsi="仿宋" w:eastAsia="仿宋" w:cs="仿宋"/>
          <w:spacing w:val="9"/>
          <w:sz w:val="31"/>
          <w:szCs w:val="31"/>
          <w:lang w:eastAsia="zh-CN"/>
        </w:rPr>
      </w:pPr>
    </w:p>
    <w:p w14:paraId="132458AB"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（二）政府采购支出情况说明</w:t>
      </w:r>
    </w:p>
    <w:p w14:paraId="362B211F">
      <w:pPr>
        <w:spacing w:before="249" w:line="368" w:lineRule="auto"/>
        <w:ind w:left="29" w:right="24" w:firstLine="641"/>
        <w:rPr>
          <w:rFonts w:ascii="仿宋" w:hAnsi="仿宋" w:eastAsia="仿宋" w:cs="仿宋"/>
          <w:spacing w:val="4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8"/>
          <w:sz w:val="31"/>
          <w:szCs w:val="31"/>
          <w:lang w:eastAsia="zh-CN"/>
        </w:rPr>
        <w:t>2023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年度政府采购支出总额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698.62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万元，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其中：政府采购货物支出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20.51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万元、政府采购工程支出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648.59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万元、政府采购服务支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29.52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万元。</w:t>
      </w:r>
    </w:p>
    <w:p w14:paraId="3AA8DBA1">
      <w:pPr>
        <w:spacing w:before="249" w:line="368" w:lineRule="auto"/>
        <w:ind w:left="29" w:right="24" w:firstLine="641"/>
        <w:rPr>
          <w:rFonts w:ascii="仿宋" w:hAnsi="仿宋" w:eastAsia="仿宋" w:cs="仿宋"/>
          <w:spacing w:val="4"/>
          <w:sz w:val="31"/>
          <w:szCs w:val="31"/>
          <w:lang w:eastAsia="zh-CN"/>
        </w:rPr>
      </w:pPr>
    </w:p>
    <w:p w14:paraId="4DBD5A1B">
      <w:pPr>
        <w:numPr>
          <w:ilvl w:val="0"/>
          <w:numId w:val="6"/>
        </w:numPr>
        <w:spacing w:before="48" w:line="224" w:lineRule="auto"/>
        <w:ind w:left="659"/>
        <w:rPr>
          <w:rFonts w:ascii="仿宋" w:hAnsi="仿宋" w:eastAsia="仿宋" w:cs="仿宋"/>
          <w:spacing w:val="9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国有资产占用情况说明</w:t>
      </w:r>
    </w:p>
    <w:p w14:paraId="2B227A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368" w:lineRule="auto"/>
        <w:ind w:firstLine="347" w:firstLineChars="112"/>
        <w:textAlignment w:val="baseline"/>
        <w:outlineLvl w:val="0"/>
        <w:rPr>
          <w:rFonts w:ascii="仿宋" w:hAnsi="仿宋" w:eastAsia="仿宋" w:cs="仿宋"/>
          <w:spacing w:val="2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截至</w:t>
      </w:r>
      <w:r>
        <w:rPr>
          <w:rFonts w:ascii="宋体" w:hAnsi="宋体" w:eastAsia="宋体" w:cs="宋体"/>
          <w:sz w:val="31"/>
          <w:szCs w:val="31"/>
          <w:lang w:eastAsia="zh-CN"/>
        </w:rPr>
        <w:t>2023</w:t>
      </w:r>
      <w:r>
        <w:rPr>
          <w:rFonts w:ascii="仿宋" w:hAnsi="仿宋" w:eastAsia="仿宋" w:cs="仿宋"/>
          <w:sz w:val="31"/>
          <w:szCs w:val="31"/>
          <w:lang w:eastAsia="zh-CN"/>
        </w:rPr>
        <w:t>年</w:t>
      </w:r>
      <w:r>
        <w:rPr>
          <w:rFonts w:ascii="宋体" w:hAnsi="宋体" w:eastAsia="宋体" w:cs="宋体"/>
          <w:sz w:val="31"/>
          <w:szCs w:val="31"/>
          <w:lang w:eastAsia="zh-CN"/>
        </w:rPr>
        <w:t>12</w:t>
      </w:r>
      <w:r>
        <w:rPr>
          <w:rFonts w:ascii="仿宋" w:hAnsi="仿宋" w:eastAsia="仿宋" w:cs="仿宋"/>
          <w:sz w:val="31"/>
          <w:szCs w:val="31"/>
          <w:lang w:eastAsia="zh-CN"/>
        </w:rPr>
        <w:t>月</w:t>
      </w:r>
      <w:r>
        <w:rPr>
          <w:rFonts w:ascii="宋体" w:hAnsi="宋体" w:eastAsia="宋体" w:cs="宋体"/>
          <w:sz w:val="31"/>
          <w:szCs w:val="31"/>
          <w:lang w:eastAsia="zh-CN"/>
        </w:rPr>
        <w:t>31</w:t>
      </w:r>
      <w:r>
        <w:rPr>
          <w:rFonts w:ascii="仿宋" w:hAnsi="仿宋" w:eastAsia="仿宋" w:cs="仿宋"/>
          <w:sz w:val="31"/>
          <w:szCs w:val="31"/>
          <w:lang w:eastAsia="zh-CN"/>
        </w:rPr>
        <w:t>日，</w:t>
      </w:r>
      <w:r>
        <w:rPr>
          <w:rFonts w:hint="eastAsia" w:ascii="仿宋" w:hAnsi="仿宋" w:eastAsia="仿宋"/>
          <w:sz w:val="32"/>
        </w:rPr>
        <w:t>德惠市朝阳乡人民政府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共有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车辆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辆，其中，主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要负责人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公务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用车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辆、应急保障用车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辆、执法执勤用车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辆、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其他用车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辆，其他用车主要是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垃圾用车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；单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位价值</w:t>
      </w:r>
      <w:r>
        <w:rPr>
          <w:rFonts w:ascii="宋体" w:hAnsi="宋体" w:eastAsia="宋体" w:cs="宋体"/>
          <w:spacing w:val="2"/>
          <w:sz w:val="31"/>
          <w:szCs w:val="31"/>
          <w:lang w:eastAsia="zh-CN"/>
        </w:rPr>
        <w:t>100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万元（含）以上设备（不含车辆）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台（套）。</w:t>
      </w:r>
    </w:p>
    <w:p w14:paraId="76E347B5">
      <w:pPr>
        <w:spacing w:before="225" w:line="443" w:lineRule="exact"/>
        <w:ind w:firstLine="864" w:firstLineChars="200"/>
        <w:outlineLvl w:val="0"/>
        <w:rPr>
          <w:rFonts w:ascii="微软雅黑" w:hAnsi="微软雅黑" w:eastAsia="微软雅黑" w:cs="微软雅黑"/>
          <w:spacing w:val="-4"/>
          <w:position w:val="-2"/>
          <w:sz w:val="44"/>
          <w:szCs w:val="44"/>
          <w:lang w:eastAsia="zh-CN"/>
        </w:rPr>
      </w:pPr>
    </w:p>
    <w:p w14:paraId="6E91E4BA">
      <w:pPr>
        <w:spacing w:before="225" w:line="443" w:lineRule="exact"/>
        <w:ind w:firstLine="1728" w:firstLineChars="400"/>
        <w:outlineLvl w:val="0"/>
        <w:rPr>
          <w:rFonts w:ascii="微软雅黑" w:hAnsi="微软雅黑" w:eastAsia="微软雅黑" w:cs="微软雅黑"/>
          <w:sz w:val="44"/>
          <w:szCs w:val="44"/>
          <w:lang w:eastAsia="zh-CN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  <w:lang w:eastAsia="zh-CN"/>
        </w:rPr>
        <w:t>第四部分</w:t>
      </w:r>
      <w:r>
        <w:rPr>
          <w:rFonts w:ascii="微软雅黑" w:hAnsi="微软雅黑" w:eastAsia="微软雅黑" w:cs="微软雅黑"/>
          <w:spacing w:val="24"/>
          <w:position w:val="-2"/>
          <w:sz w:val="44"/>
          <w:szCs w:val="44"/>
          <w:lang w:eastAsia="zh-CN"/>
        </w:rPr>
        <w:t xml:space="preserve">   </w:t>
      </w: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  <w:lang w:eastAsia="zh-CN"/>
        </w:rPr>
        <w:t>名词解释</w:t>
      </w:r>
    </w:p>
    <w:p w14:paraId="37C8254B">
      <w:pPr>
        <w:pStyle w:val="2"/>
        <w:spacing w:line="315" w:lineRule="auto"/>
        <w:rPr>
          <w:lang w:eastAsia="zh-CN"/>
        </w:rPr>
      </w:pPr>
    </w:p>
    <w:p w14:paraId="0DC97E71">
      <w:pPr>
        <w:pStyle w:val="2"/>
        <w:spacing w:line="315" w:lineRule="auto"/>
        <w:rPr>
          <w:lang w:eastAsia="zh-CN"/>
        </w:rPr>
      </w:pPr>
    </w:p>
    <w:p w14:paraId="64B4EC3C">
      <w:pPr>
        <w:pStyle w:val="2"/>
        <w:spacing w:line="315" w:lineRule="auto"/>
        <w:rPr>
          <w:lang w:eastAsia="zh-CN"/>
        </w:rPr>
      </w:pPr>
    </w:p>
    <w:p w14:paraId="567008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97" w:lineRule="auto"/>
        <w:ind w:left="39" w:right="153" w:firstLine="650"/>
        <w:textAlignment w:val="baseline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  <w:lang w:eastAsia="zh-CN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指单位从同级财政部门取得的财政</w:t>
      </w:r>
      <w:r>
        <w:rPr>
          <w:rFonts w:ascii="仿宋" w:hAnsi="仿宋" w:eastAsia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预算资金。</w:t>
      </w:r>
    </w:p>
    <w:p w14:paraId="14B687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58" w:lineRule="auto"/>
        <w:ind w:left="0" w:leftChars="0" w:right="153" w:firstLine="641" w:firstLineChars="197"/>
        <w:textAlignment w:val="baseline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二</w:t>
      </w:r>
      <w:r>
        <w:rPr>
          <w:rFonts w:ascii="仿宋" w:hAnsi="仿宋" w:eastAsia="仿宋" w:cs="仿宋"/>
          <w:b/>
          <w:bCs/>
          <w:spacing w:val="7"/>
          <w:sz w:val="31"/>
          <w:szCs w:val="31"/>
          <w:lang w:eastAsia="zh-CN"/>
        </w:rPr>
        <w:t>、年初结转和结余：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指单位以前年度尚未完成、结转到本年按有关规定用途继续使用的资金，或项目已完成等产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生的结余资金。</w:t>
      </w:r>
    </w:p>
    <w:p w14:paraId="0645FC6A">
      <w:pPr>
        <w:spacing w:before="54" w:line="364" w:lineRule="auto"/>
        <w:ind w:left="29" w:right="153" w:firstLine="65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三</w:t>
      </w:r>
      <w:r>
        <w:rPr>
          <w:rFonts w:ascii="仿宋" w:hAnsi="仿宋" w:eastAsia="仿宋" w:cs="仿宋"/>
          <w:b/>
          <w:bCs/>
          <w:spacing w:val="7"/>
          <w:sz w:val="31"/>
          <w:szCs w:val="31"/>
          <w:lang w:eastAsia="zh-CN"/>
        </w:rPr>
        <w:t>、年末结转和结余：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指单位按有关规定结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转到下年或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:lang w:eastAsia="zh-CN"/>
        </w:rPr>
        <w:t>以后年度继续使用的资金，或项目已完成等产生的结余资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  <w:lang w:eastAsia="zh-CN"/>
        </w:rPr>
        <w:t>金。</w:t>
      </w:r>
    </w:p>
    <w:p w14:paraId="2B9127A2">
      <w:pPr>
        <w:spacing w:before="39" w:line="297" w:lineRule="auto"/>
        <w:ind w:left="30" w:right="153" w:firstLine="65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四</w:t>
      </w:r>
      <w:r>
        <w:rPr>
          <w:rFonts w:ascii="仿宋" w:hAnsi="仿宋" w:eastAsia="仿宋" w:cs="仿宋"/>
          <w:b/>
          <w:bCs/>
          <w:spacing w:val="7"/>
          <w:sz w:val="31"/>
          <w:szCs w:val="31"/>
          <w:lang w:eastAsia="zh-CN"/>
        </w:rPr>
        <w:t>、基本支出：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指为保障机构正常运转、完成日常工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作任务而发生的人员支出和公用支出。</w:t>
      </w:r>
    </w:p>
    <w:p w14:paraId="59EB30D6">
      <w:pPr>
        <w:spacing w:before="250" w:line="298" w:lineRule="auto"/>
        <w:ind w:left="33" w:right="154" w:firstLine="65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五</w:t>
      </w:r>
      <w:r>
        <w:rPr>
          <w:rFonts w:ascii="仿宋" w:hAnsi="仿宋" w:eastAsia="仿宋" w:cs="仿宋"/>
          <w:b/>
          <w:bCs/>
          <w:spacing w:val="7"/>
          <w:sz w:val="31"/>
          <w:szCs w:val="31"/>
          <w:lang w:eastAsia="zh-CN"/>
        </w:rPr>
        <w:t>、项目支出：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指在基本支出之外为完成特定行政任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务或事业发展目标所发生的支出。</w:t>
      </w:r>
    </w:p>
    <w:p w14:paraId="28F2EA4E">
      <w:pPr>
        <w:spacing w:before="251" w:line="297" w:lineRule="auto"/>
        <w:ind w:left="29" w:right="152" w:firstLine="65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六</w:t>
      </w:r>
      <w:r>
        <w:rPr>
          <w:rFonts w:ascii="仿宋" w:hAnsi="仿宋" w:eastAsia="仿宋" w:cs="仿宋"/>
          <w:b/>
          <w:bCs/>
          <w:spacing w:val="7"/>
          <w:sz w:val="31"/>
          <w:szCs w:val="31"/>
          <w:lang w:eastAsia="zh-CN"/>
        </w:rPr>
        <w:t>、“三公”经费：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纳入省级财政预决算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管理的“三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公”经费，是指省级部门用财政拨款安排的因公出国（境）费、公务用车购置及运行维护费和公务接待费。是党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政机关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维持运转或完成特定工作任务所开支的相关支出，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是政府行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  <w:lang w:eastAsia="zh-CN"/>
        </w:rPr>
        <w:t>政开支的一部分。其中，</w:t>
      </w:r>
      <w:r>
        <w:rPr>
          <w:rFonts w:ascii="仿宋" w:hAnsi="仿宋" w:eastAsia="仿宋" w:cs="仿宋"/>
          <w:spacing w:val="-46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  <w:lang w:eastAsia="zh-CN"/>
        </w:rPr>
        <w:t>因公出国（境）费反映公</w:t>
      </w:r>
      <w:r>
        <w:rPr>
          <w:rFonts w:ascii="仿宋" w:hAnsi="仿宋" w:eastAsia="仿宋" w:cs="仿宋"/>
          <w:spacing w:val="-13"/>
          <w:sz w:val="31"/>
          <w:szCs w:val="31"/>
          <w:lang w:eastAsia="zh-CN"/>
        </w:rPr>
        <w:t>务出国（境）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的国际旅费、国外城市间交通费、住宿费、伙食费、培训费、</w:t>
      </w:r>
      <w:r>
        <w:rPr>
          <w:rFonts w:ascii="仿宋" w:hAnsi="仿宋" w:eastAsia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公杂费等支出；公务用车购置及运行费反映单位公务用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车车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辆购置支出（含车辆购置税）及燃料费、维修费、过桥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过路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费、保险费、安全奖励费等支出；公务接待费反映单位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按规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定开支的各类公务接待（含外宾接待）支出。</w:t>
      </w:r>
    </w:p>
    <w:p w14:paraId="1719DD23">
      <w:pPr>
        <w:spacing w:before="48" w:line="347" w:lineRule="auto"/>
        <w:ind w:left="26" w:right="93" w:firstLine="656"/>
        <w:rPr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七</w:t>
      </w:r>
      <w:r>
        <w:rPr>
          <w:rFonts w:ascii="仿宋" w:hAnsi="仿宋" w:eastAsia="仿宋" w:cs="仿宋"/>
          <w:b/>
          <w:bCs/>
          <w:spacing w:val="7"/>
          <w:sz w:val="31"/>
          <w:szCs w:val="31"/>
          <w:lang w:eastAsia="zh-CN"/>
        </w:rPr>
        <w:t>、机关运行经费：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指为保障行政单位（包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括参照公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务员法管理的事业单位）运行用于购买货物和服务的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各项资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金，包括办公费、</w:t>
      </w:r>
      <w:r>
        <w:rPr>
          <w:rFonts w:ascii="仿宋" w:hAnsi="仿宋" w:eastAsia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印刷费、邮电费、差旅费、会议费、福利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费、日常维修费、专用材料及一般设备购置费、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办公用房水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电费、办公用房取暖费、办公用房物业管理费、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公务用车运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行维护费以及其他费用。</w:t>
      </w:r>
    </w:p>
    <w:sectPr>
      <w:headerReference r:id="rId17" w:type="default"/>
      <w:footerReference r:id="rId18" w:type="default"/>
      <w:pgSz w:w="11907" w:h="16839"/>
      <w:pgMar w:top="1431" w:right="1710" w:bottom="1153" w:left="1785" w:header="0" w:footer="96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01615">
    <w:pPr>
      <w:spacing w:line="177" w:lineRule="auto"/>
      <w:ind w:left="4138"/>
      <w:rPr>
        <w:rFonts w:hint="eastAsia" w:ascii="Times New Roman" w:hAnsi="Times New Roman" w:eastAsia="宋体" w:cs="Times New Roman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0DE7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p38XcsBAACcAwAADgAAAGRycy9lMm9Eb2MueG1srVPNjtMwEL4j8Q6W&#10;79RpkVA3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cNvaHEcYsDv3z/dvnx6/LzK1lW&#10;L2+yQn2AGhPvA6am4Y0fcG9mP6AzEx9UtPmLlAjGUd/zVV85JCLyo/Vqva4wJDA2XxCfPTwPEdJb&#10;6S3JRkMjDrDoyk/vIY2pc0qu5vydNqYM0bi/HIiZPSz3PvaYrTTsh4nQ3rdn5NPj7BvqcNUpMe8c&#10;SpvXZDbibOxn4xiiPnRlj3I9CK+PCZsoveUKI+xUGIdW2E0Llrfiz3vJevi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qd/F3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D0DE7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3BA3">
    <w:pPr>
      <w:spacing w:line="176" w:lineRule="auto"/>
      <w:ind w:left="4088"/>
      <w:rPr>
        <w:rFonts w:ascii="Times New Roman" w:hAnsi="Times New Roman" w:eastAsia="Times New Roman" w:cs="Times New Roma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0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1AE3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8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FV+GGzAEAAJ0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A1AE3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10E26">
    <w:pPr>
      <w:spacing w:line="176" w:lineRule="auto"/>
      <w:ind w:left="4088"/>
      <w:rPr>
        <w:rFonts w:ascii="Times New Roman" w:hAnsi="Times New Roman" w:eastAsia="Times New Roman" w:cs="Times New Roma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1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1B7B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9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zKL58sBAACdAwAADgAAAGRycy9lMm9Eb2MueG1srVPNjtMwEL4j8Q6W&#10;79RphVCJ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rpaUOG5x4pfv3y4/fl1+fiXL&#10;6uXrLFEfoMbMu4C5aXjrB1yc2Q/ozMwHFW3+IieCcRT4fBVYDomI/Gi9Wq8rDAmMzRfEZw/PQ4T0&#10;TnpLstHQiBMswvLTB0hj6pySqzl/q40pUzTuLwdiZg/LvY89ZisN+2EitPftGfn0OPyGOtx1Ssx7&#10;h9rmPZmNOBv72TiGqA9dWaRcD8KbY8ImSm+5wgg7FcapFXbThuW1+PNesh7+qu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syi+f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61B7B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A1973">
    <w:pPr>
      <w:spacing w:line="176" w:lineRule="auto"/>
      <w:ind w:left="4088"/>
      <w:rPr>
        <w:rFonts w:ascii="Times New Roman" w:hAnsi="Times New Roman" w:eastAsia="Times New Roman" w:cs="Times New Roma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1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8FB4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0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M3jd3z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68FB4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B8F4E">
    <w:pPr>
      <w:spacing w:line="176" w:lineRule="auto"/>
      <w:ind w:left="4088"/>
      <w:rPr>
        <w:rFonts w:ascii="Times New Roman" w:hAnsi="Times New Roman" w:eastAsia="Times New Roman" w:cs="Times New Roma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1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7F4F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1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+7syssBAACd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rl5S4rjFiV++f7v8+HX5+ZUs&#10;q1fLLFEfoMbMu4C5aXjrB1yc2Q/ozMwHFW3+IieCcRT4fBVYDomI/Gi9Wq8rDAmMzRfEZw/PQ4T0&#10;TnpLstHQiBMswvLTB0hj6pySqzl/q40pUzTuLwdiZg/LvY89ZisN+2EitPftGfn0OPyGOtx1Ssx7&#10;h9rmPZmNOBv72TiGqA9dWaRcD8KbY8ImSm+5wgg7FcapFXbThuW1+PNesh7+qu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fu7Mr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D7F4F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858BD">
    <w:pPr>
      <w:spacing w:line="240" w:lineRule="auto"/>
      <w:ind w:left="0"/>
      <w:rPr>
        <w:rFonts w:hint="eastAsia" w:ascii="Times New Roman" w:hAnsi="Times New Roman" w:eastAsia="宋体" w:cs="Times New Roman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D9B2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2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314IQzAEAAJ0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BD9B2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D9962">
    <w:pPr>
      <w:spacing w:line="177" w:lineRule="auto"/>
      <w:ind w:left="4118"/>
      <w:rPr>
        <w:rFonts w:ascii="Times New Roman" w:hAnsi="Times New Roman" w:eastAsia="Times New Roman" w:cs="Times New Roma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8E52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WKmn8kBAACdAwAADgAAAGRycy9lMm9Eb2MueG1srVNNrtMwEN4jcQfL&#10;e+q0Qq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BY3ASVx3OLEL9+/XX78uvz8SpbV&#10;yyJRH6DGzIeAuWl44wdMz9JlP6AzMx9UtPmLnAjGEe18FVgOiYj8aL1arysMCYzNF8Rht+chQnor&#10;vSXZaGjECRZh+ek9pDF1TsnVnL/XxpQpGveXAzGzh916zFYa9sPU+N63Z+TT4/Ab6nDXKTHvHGqL&#10;/aXZiLOxn41jiPrQlUXK9SC8PiZsovSWK4ywU2GcWmE3bVheiz/vJev2V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ZYqafyQEAAJ0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C8E52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A84F8">
    <w:pPr>
      <w:spacing w:line="176" w:lineRule="auto"/>
      <w:ind w:left="4122"/>
      <w:rPr>
        <w:rFonts w:hint="default" w:ascii="Times New Roman" w:hAnsi="Times New Roman" w:eastAsia="宋体" w:cs="Times New Roman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2A65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NvPSn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32A65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31783">
    <w:pPr>
      <w:spacing w:line="177" w:lineRule="auto"/>
      <w:ind w:left="4117"/>
      <w:rPr>
        <w:rFonts w:hint="default" w:ascii="Times New Roman" w:hAnsi="Times New Roman" w:eastAsia="宋体" w:cs="Times New Roman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4D55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2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H/hKcsBAACdAwAADgAAAGRycy9lMm9Eb2MueG1srVNLbtswEN0XyB0I&#10;7mPKQlE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BjehpMRygxM/f/92/vHr/PMr&#10;WRZvyyRR76HCzCePuXG4cwOmz35AZ2I+tMGkL3IiGEeBTxeB5RCJSI9W5WpV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x/4Sn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14D55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40F9">
    <w:pPr>
      <w:spacing w:line="177" w:lineRule="auto"/>
      <w:ind w:left="4117"/>
      <w:rPr>
        <w:rFonts w:hint="default" w:ascii="Times New Roman" w:hAnsi="Times New Roman" w:eastAsia="宋体" w:cs="Times New Roman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0FF3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3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nJ6n8sBAACdAwAADgAAAGRycy9lMm9Eb2MueG1srVPNjtMwEL4j8Q6W&#10;79RpF6E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e4CTeUOG5x4pfv3y4/fl1+fiXL&#10;6uVNlqgPUGPmfcDcNLzxA6bPfkBnZj6oaPMXORGMo8Dnq8BySETkR+vVel1hSGBsviA+e3geIqS3&#10;0luSjYZGnGARlp/eQxpT55Rczfk7bUyZonF/ORAze1jufewxW2nYDxOhvW/PyKfH4TfU4a5TYt45&#10;1DbvyWzE2djPxjFEfejKIuV6EF4fEzZRessVRtipME6tsJs2LK/Fn/eS9fBX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Zyep/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E0FF3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EE968">
    <w:pPr>
      <w:spacing w:line="177" w:lineRule="auto"/>
      <w:ind w:left="4117"/>
      <w:rPr>
        <w:rFonts w:hint="default" w:ascii="Times New Roman" w:hAnsi="Times New Roman" w:eastAsia="宋体" w:cs="Times New Roman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0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9D86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4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JfWSj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69D86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5F362">
    <w:pPr>
      <w:spacing w:line="174" w:lineRule="auto"/>
      <w:ind w:left="4122"/>
      <w:rPr>
        <w:rFonts w:hint="default" w:ascii="Times New Roman" w:hAnsi="Times New Roman" w:eastAsia="宋体" w:cs="Times New Roman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0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5A6C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5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FLCnssBAACdAwAADgAAAGRycy9lMm9Eb2MueG1srVPNjtMwEL4j8Q6W&#10;79RpxaI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e4CTeUOG5x4pfv3y4/fl1+fiXL&#10;6uVNlqgPUGPmfcDcNLzxA6bPfkBnZj6oaPMXORGMo8Dnq8BySETkR+vVel1hSGBsviA+e3geIqS3&#10;0luSjYZGnGARlp/eQxpT55Rczfk7bUyZonF/ORAze1jufewxW2nYDxOhvW/PyKfH4TfU4a5TYt45&#10;1DbvyWzE2djPxjFEfejKIuV6EF4fEzZRessVRtipME6tsJs2LK/Fn/eS9fBX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hSwp7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F5A6C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F8F03">
    <w:pPr>
      <w:spacing w:line="176" w:lineRule="auto"/>
      <w:ind w:left="4122"/>
      <w:rPr>
        <w:rFonts w:hint="default" w:ascii="Times New Roman" w:hAnsi="Times New Roman" w:eastAsia="宋体" w:cs="Times New Roman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0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A087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wK1jP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DA087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4C368">
    <w:pPr>
      <w:spacing w:line="176" w:lineRule="auto"/>
      <w:ind w:left="4088"/>
      <w:rPr>
        <w:rFonts w:ascii="Times New Roman" w:hAnsi="Times New Roman" w:eastAsia="Times New Roman" w:cs="Times New Roma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7252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7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ewLscoBAACdAwAADgAAAGRycy9lMm9Eb2MueG1srVPNjtMwEL4j8Q6W&#10;79Rph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lvcBJy74xYnfvn+7fLj1+XnV7Ks&#10;Xr7OEvUBasy8C5ibhrd+wPTZD+jMzAcVbf4iJ4JxFPh8FVgOiYj8aL1arysMCYzNF8RnD89DhPRO&#10;ekuy0dCIEyzC8tMHSGPqnJKrOX+rjSlTNO4vB2JmD8u9jz1mKw37YSK09+0Z+fQ4/IY63HVKzHuH&#10;2uY9mY04G/vZOIaoD11ZpFwPwptjwiZKb7nCCDsVxqkVdtOG5bX4816yHv6q7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wewLscoBAACd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F7252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FA01A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3F143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DAFDB"/>
    <w:multiLevelType w:val="singleLevel"/>
    <w:tmpl w:val="9D5DAFD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9B5B183"/>
    <w:multiLevelType w:val="singleLevel"/>
    <w:tmpl w:val="19B5B1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D2C03D"/>
    <w:multiLevelType w:val="singleLevel"/>
    <w:tmpl w:val="1CD2C03D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3">
    <w:nsid w:val="1E91DE6B"/>
    <w:multiLevelType w:val="singleLevel"/>
    <w:tmpl w:val="1E91DE6B"/>
    <w:lvl w:ilvl="0" w:tentative="0">
      <w:start w:val="10"/>
      <w:numFmt w:val="chineseCounting"/>
      <w:suff w:val="nothing"/>
      <w:lvlText w:val="%1、"/>
      <w:lvlJc w:val="left"/>
      <w:pPr>
        <w:ind w:left="652" w:leftChars="0" w:firstLine="0" w:firstLineChars="0"/>
      </w:pPr>
      <w:rPr>
        <w:rFonts w:hint="eastAsia"/>
      </w:rPr>
    </w:lvl>
  </w:abstractNum>
  <w:abstractNum w:abstractNumId="4">
    <w:nsid w:val="57F58FA6"/>
    <w:multiLevelType w:val="singleLevel"/>
    <w:tmpl w:val="57F58F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3643603"/>
    <w:multiLevelType w:val="singleLevel"/>
    <w:tmpl w:val="7364360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GZhNTI2ODM0NmY1NDZhYzBmNDBhMWM3NjZmMTcifQ=="/>
  </w:docVars>
  <w:rsids>
    <w:rsidRoot w:val="007B6326"/>
    <w:rsid w:val="0004671B"/>
    <w:rsid w:val="002148BA"/>
    <w:rsid w:val="00261597"/>
    <w:rsid w:val="002E0DBE"/>
    <w:rsid w:val="00370642"/>
    <w:rsid w:val="00383803"/>
    <w:rsid w:val="003C274C"/>
    <w:rsid w:val="003D211B"/>
    <w:rsid w:val="003F5A4F"/>
    <w:rsid w:val="00460F83"/>
    <w:rsid w:val="004A338E"/>
    <w:rsid w:val="004B1EC8"/>
    <w:rsid w:val="00657BA9"/>
    <w:rsid w:val="0066250D"/>
    <w:rsid w:val="00670A84"/>
    <w:rsid w:val="007125C3"/>
    <w:rsid w:val="007B6326"/>
    <w:rsid w:val="007F3A61"/>
    <w:rsid w:val="00862899"/>
    <w:rsid w:val="00863B59"/>
    <w:rsid w:val="008A5343"/>
    <w:rsid w:val="00956107"/>
    <w:rsid w:val="00A56C47"/>
    <w:rsid w:val="00A77715"/>
    <w:rsid w:val="00AE53D5"/>
    <w:rsid w:val="00BE6804"/>
    <w:rsid w:val="00CD6A53"/>
    <w:rsid w:val="00D63B98"/>
    <w:rsid w:val="00DF7ADB"/>
    <w:rsid w:val="00E346E7"/>
    <w:rsid w:val="00E70781"/>
    <w:rsid w:val="00E9557F"/>
    <w:rsid w:val="00ED54AC"/>
    <w:rsid w:val="00FB4C56"/>
    <w:rsid w:val="02C72207"/>
    <w:rsid w:val="035B751F"/>
    <w:rsid w:val="08002443"/>
    <w:rsid w:val="087B7D1C"/>
    <w:rsid w:val="09137F54"/>
    <w:rsid w:val="09C53944"/>
    <w:rsid w:val="0C892A3E"/>
    <w:rsid w:val="101D790A"/>
    <w:rsid w:val="12820DE8"/>
    <w:rsid w:val="13712447"/>
    <w:rsid w:val="140E7C96"/>
    <w:rsid w:val="170A0BE8"/>
    <w:rsid w:val="1A9D7FC6"/>
    <w:rsid w:val="1B8D1DE8"/>
    <w:rsid w:val="1C4F709D"/>
    <w:rsid w:val="1CFD4D4B"/>
    <w:rsid w:val="1D4330A6"/>
    <w:rsid w:val="1EE91A2B"/>
    <w:rsid w:val="1F903C55"/>
    <w:rsid w:val="1FF22B62"/>
    <w:rsid w:val="20A976C4"/>
    <w:rsid w:val="20BA367F"/>
    <w:rsid w:val="2120725A"/>
    <w:rsid w:val="22CA56D0"/>
    <w:rsid w:val="230C5CE8"/>
    <w:rsid w:val="24DB5972"/>
    <w:rsid w:val="25184ADD"/>
    <w:rsid w:val="255045B2"/>
    <w:rsid w:val="25A55F80"/>
    <w:rsid w:val="26467763"/>
    <w:rsid w:val="29B02E00"/>
    <w:rsid w:val="2A900FAD"/>
    <w:rsid w:val="2E9372BE"/>
    <w:rsid w:val="2EB37960"/>
    <w:rsid w:val="309537C1"/>
    <w:rsid w:val="313E1763"/>
    <w:rsid w:val="31A517E2"/>
    <w:rsid w:val="331D7A9E"/>
    <w:rsid w:val="3428494C"/>
    <w:rsid w:val="37980099"/>
    <w:rsid w:val="39755F3E"/>
    <w:rsid w:val="3AAA1C17"/>
    <w:rsid w:val="3F93536F"/>
    <w:rsid w:val="41A43864"/>
    <w:rsid w:val="428D77BF"/>
    <w:rsid w:val="434049A2"/>
    <w:rsid w:val="44502133"/>
    <w:rsid w:val="467D4684"/>
    <w:rsid w:val="46FF5B67"/>
    <w:rsid w:val="4A1B043B"/>
    <w:rsid w:val="4A1E1CDA"/>
    <w:rsid w:val="4A2F2004"/>
    <w:rsid w:val="525E7A5F"/>
    <w:rsid w:val="52BE405A"/>
    <w:rsid w:val="52CA29FF"/>
    <w:rsid w:val="536746F1"/>
    <w:rsid w:val="542D25A4"/>
    <w:rsid w:val="543D5452"/>
    <w:rsid w:val="5689497F"/>
    <w:rsid w:val="56C37E91"/>
    <w:rsid w:val="56F664B8"/>
    <w:rsid w:val="5805272B"/>
    <w:rsid w:val="589F66DB"/>
    <w:rsid w:val="58E14F46"/>
    <w:rsid w:val="5AA0313D"/>
    <w:rsid w:val="5B8F47E5"/>
    <w:rsid w:val="5C5F065B"/>
    <w:rsid w:val="5D3416E2"/>
    <w:rsid w:val="5D700646"/>
    <w:rsid w:val="5EA04F5B"/>
    <w:rsid w:val="61A64E70"/>
    <w:rsid w:val="61EB0BE3"/>
    <w:rsid w:val="623065F6"/>
    <w:rsid w:val="63C90AB0"/>
    <w:rsid w:val="64813139"/>
    <w:rsid w:val="650A312E"/>
    <w:rsid w:val="652C579B"/>
    <w:rsid w:val="65E6594A"/>
    <w:rsid w:val="66CF2882"/>
    <w:rsid w:val="67117892"/>
    <w:rsid w:val="682D7860"/>
    <w:rsid w:val="69AA4EE0"/>
    <w:rsid w:val="6AD541DF"/>
    <w:rsid w:val="6CCF1282"/>
    <w:rsid w:val="6E895A0C"/>
    <w:rsid w:val="6F795A80"/>
    <w:rsid w:val="70BF3967"/>
    <w:rsid w:val="711517D9"/>
    <w:rsid w:val="7150636D"/>
    <w:rsid w:val="731F693F"/>
    <w:rsid w:val="75023E22"/>
    <w:rsid w:val="75F96FD3"/>
    <w:rsid w:val="76FD0D45"/>
    <w:rsid w:val="77560455"/>
    <w:rsid w:val="775E5C88"/>
    <w:rsid w:val="7C8B0BA1"/>
    <w:rsid w:val="7E074257"/>
    <w:rsid w:val="7EFB0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10.jpeg"/><Relationship Id="rId28" Type="http://schemas.openxmlformats.org/officeDocument/2006/relationships/image" Target="media/image9.png"/><Relationship Id="rId27" Type="http://schemas.openxmlformats.org/officeDocument/2006/relationships/image" Target="media/image8.jpeg"/><Relationship Id="rId26" Type="http://schemas.openxmlformats.org/officeDocument/2006/relationships/image" Target="media/image7.png"/><Relationship Id="rId25" Type="http://schemas.openxmlformats.org/officeDocument/2006/relationships/image" Target="media/image6.png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0" Type="http://schemas.openxmlformats.org/officeDocument/2006/relationships/image" Target="media/image1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header" Target="header2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37D76-288A-4267-A398-CB2541BC3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5697</Words>
  <Characters>6428</Characters>
  <Lines>71</Lines>
  <Paragraphs>20</Paragraphs>
  <TotalTime>23</TotalTime>
  <ScaleCrop>false</ScaleCrop>
  <LinksUpToDate>false</LinksUpToDate>
  <CharactersWithSpaces>7041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2024-08-20T12:29:00Z</dcterms:created>
  <dc:creator>王志强</dc:creator>
  <cp:lastModifiedBy>姜珊珊</cp:lastModifiedBy>
  <dcterms:modified xsi:type="dcterms:W3CDTF">2024-10-16T01:28:25Z</dcterms:modified>
  <dc:title>2015年度部门决算公开模板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2024-08-20T12:29:24Z</vt:filetime>
  </property>
  <property fmtid="{D5CDD505-2E9C-101B-9397-08002B2CF9AE}" pid="4" name="KSOProductBuildVer">
    <vt:lpwstr>2052-12.1.0.18276</vt:lpwstr>
  </property>
  <property fmtid="{D5CDD505-2E9C-101B-9397-08002B2CF9AE}" pid="5" name="ICV">
    <vt:lpwstr>85AF8ED6A0374B6EAEA6A41D92CEC2EF_13</vt:lpwstr>
  </property>
</Properties>
</file>