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82033">
      <w:pPr>
        <w:spacing w:before="180" w:line="219" w:lineRule="auto"/>
        <w:ind w:left="47"/>
        <w:rPr>
          <w:rFonts w:ascii="宋体" w:hAnsi="宋体" w:eastAsia="宋体" w:cs="宋体"/>
          <w:sz w:val="28"/>
          <w:szCs w:val="28"/>
        </w:rPr>
      </w:pPr>
      <w:bookmarkStart w:id="1" w:name="_GoBack"/>
      <w:bookmarkEnd w:id="1"/>
      <w:r>
        <w:rPr>
          <w:rFonts w:ascii="宋体" w:hAnsi="宋体" w:eastAsia="宋体" w:cs="宋体"/>
          <w:spacing w:val="-16"/>
          <w:sz w:val="28"/>
          <w:szCs w:val="28"/>
        </w:rPr>
        <w:t>附件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1：</w:t>
      </w:r>
    </w:p>
    <w:p w14:paraId="6A8B9662">
      <w:pPr>
        <w:pStyle w:val="2"/>
        <w:spacing w:line="251" w:lineRule="auto"/>
      </w:pPr>
    </w:p>
    <w:p w14:paraId="100A1C4D">
      <w:pPr>
        <w:pStyle w:val="2"/>
        <w:spacing w:line="251" w:lineRule="auto"/>
      </w:pPr>
    </w:p>
    <w:p w14:paraId="0FF95AA2">
      <w:pPr>
        <w:pStyle w:val="2"/>
        <w:spacing w:line="252" w:lineRule="auto"/>
      </w:pPr>
    </w:p>
    <w:p w14:paraId="160599D6">
      <w:pPr>
        <w:pStyle w:val="2"/>
        <w:spacing w:line="252" w:lineRule="auto"/>
      </w:pPr>
    </w:p>
    <w:p w14:paraId="14955E37">
      <w:pPr>
        <w:pStyle w:val="2"/>
        <w:spacing w:line="252" w:lineRule="auto"/>
      </w:pPr>
    </w:p>
    <w:p w14:paraId="799BE418">
      <w:pPr>
        <w:pStyle w:val="2"/>
        <w:spacing w:line="252" w:lineRule="auto"/>
      </w:pPr>
    </w:p>
    <w:p w14:paraId="09F448B9">
      <w:pPr>
        <w:pStyle w:val="2"/>
        <w:spacing w:line="252" w:lineRule="auto"/>
      </w:pPr>
    </w:p>
    <w:p w14:paraId="582F7754">
      <w:pPr>
        <w:pStyle w:val="2"/>
        <w:spacing w:line="252" w:lineRule="auto"/>
      </w:pPr>
    </w:p>
    <w:p w14:paraId="50E0FECE">
      <w:pPr>
        <w:pStyle w:val="2"/>
        <w:spacing w:line="252" w:lineRule="auto"/>
      </w:pPr>
    </w:p>
    <w:p w14:paraId="4E50CB17">
      <w:pPr>
        <w:pStyle w:val="2"/>
        <w:spacing w:line="252" w:lineRule="auto"/>
      </w:pPr>
    </w:p>
    <w:p w14:paraId="7C843FF2">
      <w:pPr>
        <w:pStyle w:val="2"/>
        <w:spacing w:line="252" w:lineRule="auto"/>
      </w:pPr>
    </w:p>
    <w:p w14:paraId="00BA9B4B">
      <w:pPr>
        <w:pStyle w:val="2"/>
        <w:spacing w:line="252" w:lineRule="auto"/>
      </w:pPr>
    </w:p>
    <w:p w14:paraId="0A5B92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/>
        <w:jc w:val="center"/>
        <w:textAlignment w:val="baseline"/>
        <w:rPr>
          <w:rFonts w:hint="eastAsia" w:ascii="黑体" w:hAnsi="黑体" w:eastAsia="黑体" w:cs="黑体"/>
          <w:sz w:val="42"/>
          <w:szCs w:val="42"/>
        </w:rPr>
      </w:pPr>
      <w:r>
        <w:rPr>
          <w:rFonts w:hint="eastAsia" w:ascii="黑体" w:hAnsi="黑体" w:eastAsia="黑体" w:cs="黑体"/>
          <w:spacing w:val="4"/>
          <w:sz w:val="43"/>
          <w:szCs w:val="43"/>
        </w:rPr>
        <w:t>2023</w:t>
      </w:r>
      <w:r>
        <w:rPr>
          <w:rFonts w:hint="eastAsia" w:ascii="黑体" w:hAnsi="黑体" w:eastAsia="黑体" w:cs="黑体"/>
          <w:spacing w:val="-103"/>
          <w:sz w:val="43"/>
          <w:szCs w:val="43"/>
        </w:rPr>
        <w:t xml:space="preserve"> </w:t>
      </w:r>
      <w:r>
        <w:rPr>
          <w:rFonts w:hint="eastAsia" w:ascii="黑体" w:hAnsi="黑体" w:eastAsia="黑体" w:cs="黑体"/>
          <w:spacing w:val="4"/>
          <w:sz w:val="42"/>
          <w:szCs w:val="42"/>
        </w:rPr>
        <w:t>年度</w:t>
      </w:r>
    </w:p>
    <w:p w14:paraId="15A911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/>
        <w:textAlignment w:val="baseline"/>
        <w:rPr>
          <w:rFonts w:hint="eastAsia" w:ascii="黑体" w:hAnsi="黑体" w:eastAsia="黑体" w:cs="黑体"/>
        </w:rPr>
      </w:pPr>
    </w:p>
    <w:p w14:paraId="707FE7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/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德惠市大房身镇人民政府</w:t>
      </w:r>
      <w:r>
        <w:rPr>
          <w:rFonts w:hint="eastAsia" w:ascii="黑体" w:hAnsi="黑体" w:eastAsia="黑体" w:cs="黑体"/>
          <w:sz w:val="44"/>
          <w:szCs w:val="44"/>
        </w:rPr>
        <w:t>部门决算</w:t>
      </w:r>
    </w:p>
    <w:p w14:paraId="710DE0EC">
      <w:pPr>
        <w:pStyle w:val="2"/>
        <w:spacing w:line="242" w:lineRule="auto"/>
      </w:pPr>
    </w:p>
    <w:p w14:paraId="61AED632">
      <w:pPr>
        <w:pStyle w:val="2"/>
        <w:spacing w:line="242" w:lineRule="auto"/>
      </w:pPr>
    </w:p>
    <w:p w14:paraId="268B4090">
      <w:pPr>
        <w:pStyle w:val="2"/>
        <w:spacing w:line="242" w:lineRule="auto"/>
      </w:pPr>
    </w:p>
    <w:p w14:paraId="06717306">
      <w:pPr>
        <w:pStyle w:val="2"/>
        <w:spacing w:line="242" w:lineRule="auto"/>
      </w:pPr>
    </w:p>
    <w:p w14:paraId="64452E16">
      <w:pPr>
        <w:pStyle w:val="2"/>
        <w:spacing w:line="242" w:lineRule="auto"/>
      </w:pPr>
    </w:p>
    <w:p w14:paraId="188F574E">
      <w:pPr>
        <w:pStyle w:val="2"/>
        <w:spacing w:line="242" w:lineRule="auto"/>
      </w:pPr>
    </w:p>
    <w:p w14:paraId="66109E8A">
      <w:pPr>
        <w:pStyle w:val="2"/>
        <w:spacing w:line="242" w:lineRule="auto"/>
      </w:pPr>
    </w:p>
    <w:p w14:paraId="4E2CD601">
      <w:pPr>
        <w:pStyle w:val="2"/>
        <w:spacing w:line="242" w:lineRule="auto"/>
      </w:pPr>
    </w:p>
    <w:p w14:paraId="35D10D18">
      <w:pPr>
        <w:pStyle w:val="2"/>
        <w:spacing w:line="242" w:lineRule="auto"/>
      </w:pPr>
    </w:p>
    <w:p w14:paraId="610C26DA">
      <w:pPr>
        <w:pStyle w:val="2"/>
        <w:spacing w:line="242" w:lineRule="auto"/>
      </w:pPr>
    </w:p>
    <w:p w14:paraId="13225A10">
      <w:pPr>
        <w:pStyle w:val="2"/>
        <w:spacing w:line="242" w:lineRule="auto"/>
      </w:pPr>
    </w:p>
    <w:p w14:paraId="01A98B01">
      <w:pPr>
        <w:pStyle w:val="2"/>
        <w:spacing w:line="243" w:lineRule="auto"/>
      </w:pPr>
    </w:p>
    <w:p w14:paraId="0C8CC1BC">
      <w:pPr>
        <w:pStyle w:val="2"/>
        <w:spacing w:line="243" w:lineRule="auto"/>
      </w:pPr>
    </w:p>
    <w:p w14:paraId="4A99F88E">
      <w:pPr>
        <w:pStyle w:val="2"/>
        <w:spacing w:line="243" w:lineRule="auto"/>
      </w:pPr>
    </w:p>
    <w:p w14:paraId="7CA5B7BE">
      <w:pPr>
        <w:pStyle w:val="2"/>
        <w:spacing w:line="243" w:lineRule="auto"/>
      </w:pPr>
    </w:p>
    <w:p w14:paraId="26EBD357">
      <w:pPr>
        <w:pStyle w:val="2"/>
        <w:spacing w:line="243" w:lineRule="auto"/>
      </w:pPr>
    </w:p>
    <w:p w14:paraId="1A56D4ED">
      <w:pPr>
        <w:pStyle w:val="2"/>
        <w:spacing w:line="243" w:lineRule="auto"/>
      </w:pPr>
    </w:p>
    <w:p w14:paraId="430DE67C">
      <w:pPr>
        <w:pStyle w:val="2"/>
        <w:spacing w:line="243" w:lineRule="auto"/>
      </w:pPr>
    </w:p>
    <w:p w14:paraId="7BC6AE22">
      <w:pPr>
        <w:pStyle w:val="2"/>
        <w:spacing w:line="243" w:lineRule="auto"/>
      </w:pPr>
    </w:p>
    <w:p w14:paraId="2A01BB19">
      <w:pPr>
        <w:pStyle w:val="2"/>
        <w:spacing w:line="243" w:lineRule="auto"/>
      </w:pPr>
    </w:p>
    <w:p w14:paraId="37E98BB4">
      <w:pPr>
        <w:pStyle w:val="2"/>
        <w:spacing w:line="243" w:lineRule="auto"/>
      </w:pPr>
    </w:p>
    <w:p w14:paraId="1C509E90">
      <w:pPr>
        <w:pStyle w:val="2"/>
        <w:spacing w:line="243" w:lineRule="auto"/>
      </w:pPr>
    </w:p>
    <w:p w14:paraId="703E4F69">
      <w:pPr>
        <w:pStyle w:val="2"/>
        <w:spacing w:line="243" w:lineRule="auto"/>
      </w:pPr>
    </w:p>
    <w:p w14:paraId="298BB53A">
      <w:pPr>
        <w:spacing w:before="101" w:line="224" w:lineRule="auto"/>
        <w:jc w:val="center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2024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23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hint="eastAsia" w:ascii="仿宋" w:hAnsi="仿宋" w:eastAsia="仿宋" w:cs="仿宋"/>
          <w:spacing w:val="35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</w:p>
    <w:p w14:paraId="79950920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7" w:h="16839"/>
          <w:pgMar w:top="1440" w:right="1440" w:bottom="1440" w:left="1440" w:header="0" w:footer="965" w:gutter="0"/>
          <w:cols w:space="720" w:num="1"/>
        </w:sectPr>
      </w:pPr>
    </w:p>
    <w:p w14:paraId="1A83C0E9">
      <w:pPr>
        <w:spacing w:before="140" w:line="223" w:lineRule="auto"/>
        <w:jc w:val="center"/>
        <w:outlineLvl w:val="0"/>
        <w:rPr>
          <w:rFonts w:ascii="仿宋" w:hAnsi="仿宋" w:eastAsia="仿宋" w:cs="仿宋"/>
          <w:b/>
          <w:bCs/>
          <w:sz w:val="43"/>
          <w:szCs w:val="43"/>
        </w:rPr>
      </w:pPr>
      <w:r>
        <w:rPr>
          <w:rFonts w:ascii="仿宋" w:hAnsi="仿宋" w:eastAsia="仿宋" w:cs="仿宋"/>
          <w:b/>
          <w:bCs/>
          <w:spacing w:val="-49"/>
          <w:sz w:val="43"/>
          <w:szCs w:val="43"/>
        </w:rPr>
        <w:t>目</w:t>
      </w:r>
      <w:r>
        <w:rPr>
          <w:rFonts w:ascii="仿宋" w:hAnsi="仿宋" w:eastAsia="仿宋" w:cs="仿宋"/>
          <w:b/>
          <w:bCs/>
          <w:spacing w:val="20"/>
          <w:sz w:val="43"/>
          <w:szCs w:val="43"/>
        </w:rPr>
        <w:t xml:space="preserve">   </w:t>
      </w:r>
      <w:r>
        <w:rPr>
          <w:rFonts w:ascii="仿宋" w:hAnsi="仿宋" w:eastAsia="仿宋" w:cs="仿宋"/>
          <w:b/>
          <w:bCs/>
          <w:spacing w:val="-49"/>
          <w:sz w:val="43"/>
          <w:szCs w:val="43"/>
        </w:rPr>
        <w:t>录</w:t>
      </w:r>
    </w:p>
    <w:p w14:paraId="5922F467">
      <w:pPr>
        <w:pStyle w:val="2"/>
        <w:spacing w:line="341" w:lineRule="auto"/>
      </w:pPr>
    </w:p>
    <w:p w14:paraId="71CF48DF">
      <w:pPr>
        <w:pStyle w:val="2"/>
        <w:spacing w:line="342" w:lineRule="auto"/>
      </w:pPr>
    </w:p>
    <w:p w14:paraId="3204AF02">
      <w:pPr>
        <w:spacing w:before="101" w:line="223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第一部分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部门概况</w:t>
      </w:r>
    </w:p>
    <w:p w14:paraId="629D8CAD"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一、部门职责</w:t>
      </w:r>
    </w:p>
    <w:p w14:paraId="0CCD2AB3">
      <w:pPr>
        <w:spacing w:before="250"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二、机构设置及部门决算单位构成</w:t>
      </w:r>
    </w:p>
    <w:p w14:paraId="10E07F91">
      <w:pPr>
        <w:spacing w:before="250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第二部分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2023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年度部门决算表</w:t>
      </w:r>
    </w:p>
    <w:p w14:paraId="5D18AB13"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一、收入支出决算总表</w:t>
      </w:r>
    </w:p>
    <w:p w14:paraId="7ADAE51F"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 w14:paraId="516CBB6D">
      <w:pPr>
        <w:spacing w:before="249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 w14:paraId="1F948E9D">
      <w:pPr>
        <w:spacing w:before="250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四、财政拨款收入支出决算总表</w:t>
      </w:r>
    </w:p>
    <w:p w14:paraId="05C58CF3"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五、一般公共预算财政拨款支出决算表</w:t>
      </w:r>
    </w:p>
    <w:p w14:paraId="417AFDCD">
      <w:pPr>
        <w:spacing w:before="250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六、一般公共预算财政拨款基本支出决算明细表</w:t>
      </w:r>
    </w:p>
    <w:p w14:paraId="684DB3D4">
      <w:pPr>
        <w:spacing w:before="251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七、政府性基金预算财政拨款收入支出决算表</w:t>
      </w:r>
    </w:p>
    <w:p w14:paraId="5E38CCEE">
      <w:pPr>
        <w:spacing w:before="252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八、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国有资本经营预算财政拨款支出决算表</w:t>
      </w:r>
    </w:p>
    <w:p w14:paraId="0301BE24">
      <w:pPr>
        <w:spacing w:before="249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九、财政拨款“三公”经费支出决算表</w:t>
      </w:r>
    </w:p>
    <w:p w14:paraId="65B52192"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十、部门预算项目支出绩效自评表</w:t>
      </w:r>
    </w:p>
    <w:p w14:paraId="5ECF1BFC">
      <w:pPr>
        <w:spacing w:before="249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第三部分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2023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年度部门决算情况说明</w:t>
      </w:r>
    </w:p>
    <w:p w14:paraId="722DCD4B"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一、收入支出决算总体情况说明</w:t>
      </w:r>
    </w:p>
    <w:p w14:paraId="11C295B5"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二、收入决算情况说明</w:t>
      </w:r>
    </w:p>
    <w:p w14:paraId="706A32FA"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三、支出决算情况说明</w:t>
      </w:r>
    </w:p>
    <w:p w14:paraId="2A467B5A">
      <w:pPr>
        <w:spacing w:before="249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四、财政拨款收入支出决算总体情况说明</w:t>
      </w:r>
    </w:p>
    <w:p w14:paraId="07864D06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1DCACB0">
      <w:pPr>
        <w:spacing w:before="15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五、一般公共预算财政拨款支出决算情况说明</w:t>
      </w:r>
    </w:p>
    <w:p w14:paraId="16B7CFCA">
      <w:pPr>
        <w:spacing w:before="249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六、一般公共预算财政拨款基本支出决算情况说明</w:t>
      </w:r>
    </w:p>
    <w:p w14:paraId="5FF76AC9">
      <w:pPr>
        <w:spacing w:before="250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七、政府性基金预算财政拨款收入支出决算情况说明</w:t>
      </w:r>
    </w:p>
    <w:p w14:paraId="617B7525">
      <w:pPr>
        <w:spacing w:before="251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八、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国有资本经营预算财政拨款支出决算情况说明</w:t>
      </w:r>
    </w:p>
    <w:p w14:paraId="66FF4061">
      <w:pPr>
        <w:spacing w:before="250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九、财政拨款“三公”经费支出决算情况说明</w:t>
      </w:r>
    </w:p>
    <w:p w14:paraId="3EBBA6C3">
      <w:pPr>
        <w:spacing w:before="249" w:line="224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十、绩效评价情况说明</w:t>
      </w:r>
    </w:p>
    <w:p w14:paraId="0C5A0434">
      <w:pPr>
        <w:spacing w:before="248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十一、其他重要事项情况说明</w:t>
      </w:r>
    </w:p>
    <w:p w14:paraId="5F490610">
      <w:pPr>
        <w:spacing w:before="250" w:line="224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第四部分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名词解释</w:t>
      </w:r>
    </w:p>
    <w:p w14:paraId="7FCA9F75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463559E0">
      <w:pPr>
        <w:spacing w:before="189" w:line="443" w:lineRule="exact"/>
        <w:jc w:val="center"/>
        <w:outlineLvl w:val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1"/>
          <w:position w:val="-2"/>
          <w:sz w:val="44"/>
          <w:szCs w:val="44"/>
        </w:rPr>
        <w:t>第一部分</w:t>
      </w:r>
      <w:r>
        <w:rPr>
          <w:rFonts w:hint="eastAsia" w:ascii="黑体" w:hAnsi="黑体" w:eastAsia="黑体" w:cs="黑体"/>
          <w:spacing w:val="14"/>
          <w:position w:val="-2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spacing w:val="1"/>
          <w:position w:val="-2"/>
          <w:sz w:val="44"/>
          <w:szCs w:val="44"/>
        </w:rPr>
        <w:t>部门概况</w:t>
      </w:r>
    </w:p>
    <w:p w14:paraId="0235EFC4">
      <w:pPr>
        <w:pStyle w:val="2"/>
        <w:spacing w:line="314" w:lineRule="auto"/>
      </w:pPr>
    </w:p>
    <w:p w14:paraId="23D2F6AD">
      <w:pPr>
        <w:pStyle w:val="2"/>
        <w:spacing w:line="315" w:lineRule="auto"/>
      </w:pPr>
    </w:p>
    <w:p w14:paraId="1A96C9F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8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一、部门主要职责</w:t>
      </w:r>
    </w:p>
    <w:p w14:paraId="5574F6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 w:cs="仿宋"/>
          <w:sz w:val="32"/>
          <w:szCs w:val="22"/>
          <w:lang w:eastAsia="zh-CN"/>
        </w:rPr>
      </w:pPr>
      <w:r>
        <w:rPr>
          <w:rFonts w:hint="eastAsia" w:ascii="仿宋" w:hAnsi="仿宋" w:eastAsia="仿宋" w:cs="仿宋"/>
          <w:sz w:val="32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德惠市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大房身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镇人民政府是实行预算拨款的基层行政单位，主要负责承担落实政策、促进发展、维护稳定、加强管理、提供服务工作，由行政单位和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综合服务中心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组成。</w:t>
      </w:r>
    </w:p>
    <w:p w14:paraId="4541B6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 w:cs="仿宋"/>
          <w:sz w:val="32"/>
          <w:szCs w:val="22"/>
          <w:lang w:eastAsia="zh-CN"/>
        </w:rPr>
      </w:pPr>
      <w:r>
        <w:rPr>
          <w:rFonts w:hint="eastAsia" w:ascii="仿宋" w:hAnsi="仿宋" w:eastAsia="仿宋" w:cs="仿宋"/>
          <w:sz w:val="32"/>
          <w:szCs w:val="22"/>
          <w:lang w:eastAsia="zh-CN"/>
        </w:rPr>
        <w:t>乡政府是市人民政府的派出机关，受德惠市人民政府领导，依据法律法规的规定，在本辖区内行驶相应的政府管理职能。</w:t>
      </w:r>
    </w:p>
    <w:p w14:paraId="2988B14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(一)宣传贯彻执行党的路线方针政策和国家法律法规，落实上级党委、政府决策部署。</w:t>
      </w:r>
    </w:p>
    <w:p w14:paraId="6E5FD8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(二)加强党的建设。落实基层党建工作责任制，坚持和完善党的全面领导，加强党的组织体系建设，不断增强党的政治领导力、思想引领力、群众组织力和社会号召力。全面推进党的政治建设、思想建设、组织建设、作风建设、纪律建设，把制度建设贯穿其中，深入推进反腐败斗争。加强镇党委自身建设和村党组织建设，以及其他隶属镇党委的党组织建设。统筹协调辖区内各领域党建工作，抓好新领域新业态新群体党建，推进镇、村党建与单位党建、行业党建、区域化党建互联互动。加强基层意识形态、精神文明建设和统战(民族宗教)工作。</w:t>
      </w:r>
    </w:p>
    <w:p w14:paraId="4A1CBF1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仿宋"/>
          <w:sz w:val="32"/>
        </w:rPr>
        <w:t>(三)统筹区域发展。统筹落实辖区发展的重大决策和辖区建设规划，强化对涉及本区域内人民群众利益的重大决策、重大项目和公共服务设施布局的参与权和建议权，推动辖区健康、有序、可持续发展。推进产业升级、经济结构调整和经济增长方式转变，推动辖区经济发展。协同统计部门做好相关统计工作。统筹做好企业服务工作，营造良好营商环境。做好人才服务和引进工作。实施乡村振兴战略各项政策，规范“三资”管理，做好美丽乡村建设和脱贫致富工作。</w:t>
      </w:r>
    </w:p>
    <w:p w14:paraId="5031D04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(四)组织公共服务。推进政府职能由“管理型”向“服务型”转变，推进基本公共服务均等化，推动优质公共服务资源向村延伸。创新公共服务供给方式，加快建立政府主导、社会参与、公办民办并举的公共服务供给模式，加大政府购买服务力度。组织实施与群众生活密切相关的公共服务，落实人社、医保、民政、退役军人、教育、文化旅游、体育、卫生健康、残联、红十字会等领域相关政策，做好民生保障工作,</w:t>
      </w:r>
    </w:p>
    <w:p w14:paraId="08DF3D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default" w:ascii="仿宋" w:hAnsi="仿宋" w:eastAsia="仿宋"/>
          <w:sz w:val="32"/>
          <w:lang w:val="en-US"/>
        </w:rPr>
      </w:pPr>
      <w:r>
        <w:rPr>
          <w:rFonts w:hint="eastAsia" w:ascii="仿宋" w:hAnsi="仿宋" w:eastAsia="仿宋"/>
          <w:sz w:val="32"/>
        </w:rPr>
        <w:t>(五)实施综合管理。负责辖区公共事务综合管理，组织领导、推进实施、综合协调和监督检查辖区内镇村管理、人口管理、社会管理等综合性工作。加强对上级职能部门派驻工作力量的指挥调度和考核监督。负责综合执法、生态环境保护、市容和环境卫生管理工作，统筹辖区内自然资源管理、市场监管相关工作。负责对辖区内物业服务的监督指导，对辖区住宅小区开展综合管理</w:t>
      </w:r>
      <w:r>
        <w:rPr>
          <w:rFonts w:hint="default" w:ascii="仿宋" w:hAnsi="仿宋" w:eastAsia="仿宋"/>
          <w:sz w:val="32"/>
          <w:lang w:val="en-US"/>
        </w:rPr>
        <w:t>.</w:t>
      </w:r>
    </w:p>
    <w:p w14:paraId="162A5D4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(六)动员社会参与。坚持以基层党建引领基层治理，动员指导辖区内各类单位、社会组织和村等社会力量参与社会治理，引导辖区单位履行社会责任，整合辖区内各种社会力量为镇、村发展服务。做实做强由党建引领的基层共治基本单元，构建党组织统一领导、各类组织积极协同、广大群众广泛参与的基层治理体系。</w:t>
      </w:r>
    </w:p>
    <w:p w14:paraId="5CA7CDE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(七)领导基层自治。发挥村党组织在基层群众自治组织建设中的领导核心作用，完善党领导下的基层社会治理体系，加强社会主义民主法治建设，做好组织群众、宣传群众、凝聚群众、服务群众工作，发挥村民在基层社会治理中的主体作用，提高基层自治整体水平</w:t>
      </w:r>
      <w:r>
        <w:rPr>
          <w:rFonts w:hint="eastAsia" w:ascii="仿宋" w:hAnsi="仿宋" w:eastAsia="仿宋"/>
          <w:sz w:val="32"/>
          <w:lang w:eastAsia="zh-CN"/>
        </w:rPr>
        <w:t>。</w:t>
      </w:r>
    </w:p>
    <w:p w14:paraId="6984797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(八)维护安全稳定。负责辖区平安建设、综合治理、应急管理、安全生产管理等工作。处理群众来信来访，反映社情民意，有效化解各类矛盾纠纷</w:t>
      </w:r>
      <w:r>
        <w:rPr>
          <w:rFonts w:hint="eastAsia" w:ascii="仿宋" w:hAnsi="仿宋" w:eastAsia="仿宋"/>
          <w:sz w:val="32"/>
          <w:lang w:eastAsia="zh-CN"/>
        </w:rPr>
        <w:t>。</w:t>
      </w:r>
    </w:p>
    <w:p w14:paraId="53F3EF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(九)深化“放管服”和“最多跑一次”改革。依托镇便民服务平台，推进审批服务事项向便民服务中心集中，保障便民服务中心的审批服务事项到位、权限到位。推进镇便民服务平台标准化建设，加快实现政务服务马上办、网上办、就近办、一次办，提升政务服务质量</w:t>
      </w:r>
      <w:r>
        <w:rPr>
          <w:rFonts w:hint="eastAsia" w:ascii="仿宋" w:hAnsi="仿宋" w:eastAsia="仿宋"/>
          <w:sz w:val="32"/>
          <w:lang w:eastAsia="zh-CN"/>
        </w:rPr>
        <w:t>。</w:t>
      </w:r>
    </w:p>
    <w:p w14:paraId="7DD4217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(十)完成市委、市政府交办的其他任务</w:t>
      </w:r>
      <w:r>
        <w:rPr>
          <w:rFonts w:hint="eastAsia" w:ascii="仿宋" w:hAnsi="仿宋" w:eastAsia="仿宋"/>
          <w:sz w:val="32"/>
          <w:lang w:eastAsia="zh-CN"/>
        </w:rPr>
        <w:t>。</w:t>
      </w:r>
    </w:p>
    <w:p w14:paraId="30E8E4A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3" w:firstLineChars="200"/>
        <w:textAlignment w:val="baseline"/>
        <w:rPr>
          <w:rFonts w:hint="eastAsia" w:ascii="仿宋" w:hAnsi="仿宋" w:eastAsia="仿宋"/>
          <w:b/>
          <w:bCs/>
          <w:sz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大房身</w:t>
      </w:r>
      <w:r>
        <w:rPr>
          <w:rFonts w:hint="eastAsia" w:ascii="仿宋" w:hAnsi="仿宋" w:eastAsia="仿宋"/>
          <w:b/>
          <w:bCs/>
          <w:sz w:val="32"/>
          <w:lang w:eastAsia="zh-CN"/>
        </w:rPr>
        <w:t>镇政府设下列综合性办事机构:</w:t>
      </w:r>
    </w:p>
    <w:p w14:paraId="5E7BB4B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(一)综合办公室。负责机关日常运转，承担文电、会务、机要、保密、档案、检查督办、政务公开、信息化建设、后勤保障等工作。</w:t>
      </w:r>
    </w:p>
    <w:p w14:paraId="2FC844B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(二)党建工作办公室。负责党的政治建设、组织建设和宣传、意识形态、精神文明建设、统战(民族宗教)等工作。统筹协调辖区内各领域党建工作，抓好新领域新业态新群体党建，推进镇、村党建与单位党建、行业党建、区域化党建互联互动。负责干部队伍建设及干部人事、机关党务、机构编制、老干部工作，协调管理派驻机构人员，落实镇对部门派出机构负责人人事考核权、选拔任用的征得同意权和对驻镇单位创先争优、文明单位创建的审核建议权。负责指导工会、共青团、妇联等群团工作。联络服务党代会代表、人大代表和政协委员。统筹推进辖区人才工作。领导村民自治工作。牵头负责党群服务平台工作。</w:t>
      </w:r>
    </w:p>
    <w:p w14:paraId="560C1F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(三)社会事务办公室。具体承担社会事务和公共服务等工作职责，落实人社、医保、民政、退役军人、教育、文化旅游、体育、卫生健康、残联、红十字会等领域相关政策。牵头推进“放管服”和“最多跑一次”改革，统筹协调下放审批服务事项的承接工作。牵头负责便民服务平台工作。</w:t>
      </w:r>
    </w:p>
    <w:p w14:paraId="38BDB1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(四)平安建设办公室(应急管理办公室)。组织推进依法治镇，负责平安建设、综合治理、应急管理、维护稳定等工作。协调开展邪教防范、法治宣传、社区戒毒、社区矫正、刑满释放人员安置帮教工作。指导督促辖区单位和村民落实消防、安全生产、食品安全等工作。受理人民群众来信来访，反映社情民意，调处化解矛盾纠纷。组织协调相关部门共同解决辖区内的治安问题。负责辖区“多网合一”及网格建设和管理工作。负责应急体系建设、应急响应和防灾减灾救灾相关工作。牵头负责社会治安综合治理平台工作。</w:t>
      </w:r>
    </w:p>
    <w:p w14:paraId="65ABA33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(五)农业农村办公室。统筹负责“三农”工作，落实农业农村发展和乡村振兴战略相关政策，做好脱贫致富工作。推进农业、牧业、林业、水利产业发展和资源开发保护利用工作。负责落实粮食和物资储备相关工作。负责牵头落实河长制工作。按职责分工承担辖区内防汛抗旱、森林防火等基础性工作。组织实施农村人居环境整治，推进美丽乡村建设。指导监督农村集体“三资”管理规范化建设工作。</w:t>
      </w:r>
    </w:p>
    <w:p w14:paraId="14D0A8F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(六)综合行政执法办公室。负责统筹协调组织指挥辖区内派驻和基层执法力量实行联合执法，代表镇政府履行规定范围内的行政执法职责。落实对上级职能部门派驻工作力量的指挥调度和考核监督权。牵头负责综合行政执法平台工作。</w:t>
      </w:r>
    </w:p>
    <w:p w14:paraId="4666D3A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(七)财政经济办公室。负责辖区内产业发展规划的拟定落实工作。落实经济发展相关政策，统筹推动产业协调发展、</w:t>
      </w:r>
      <w:r>
        <w:rPr>
          <w:rFonts w:hint="eastAsia" w:ascii="仿宋" w:hAnsi="仿宋" w:eastAsia="仿宋" w:cs="仿宋"/>
          <w:sz w:val="32"/>
          <w:lang w:eastAsia="zh-CN"/>
        </w:rPr>
        <w:t>经济结构调整、经济增长方式转变。统筹落实辖区发展的重大决策和辖区建设规划，强化对涉及本区域内人民群众利益的重大决策、重大项目和公共服务设施布局的参与权和建议权,推动辖区健康、有序、可持续发展。统筹协调辖区企业及其他市场主体联系服务工作，营造良好营商环境。承担辖区内财政、审计、国有资产管理、工业、商贸、科技、统计等方面相关工作。</w:t>
      </w:r>
    </w:p>
    <w:p w14:paraId="403FF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(八)城乡建设管理办公室。落实住房和城乡建设、自然资源管理、生态环境保护、市容和环境卫生管理、道路交通、人民防空等工作。负责基础设施养护和管理，防违控违拆违等工作。承担相关开发建设项目的征地拆迁和安置工作。指导特色小城镇建设和传统村落、传统建筑的保护和发展工作。负责对辖区内物业服务的监督指导，对辖区住宅小区开展综合管理。镇人大、纪检监察、人武、工会、共青团、妇联等组织按有关规定设置并开展工作。</w:t>
      </w:r>
    </w:p>
    <w:p w14:paraId="3836B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52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二、机构设置及部门决算单位构成</w:t>
      </w:r>
    </w:p>
    <w:p w14:paraId="6B1E4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根据上述职责，</w:t>
      </w:r>
      <w:r>
        <w:rPr>
          <w:rFonts w:hint="eastAsia" w:ascii="仿宋" w:hAnsi="仿宋" w:eastAsia="仿宋"/>
          <w:sz w:val="32"/>
          <w:szCs w:val="30"/>
          <w:lang w:eastAsia="zh-CN"/>
        </w:rPr>
        <w:t>德惠市松花江镇人民政府</w:t>
      </w:r>
      <w:r>
        <w:rPr>
          <w:rFonts w:hint="eastAsia" w:ascii="仿宋" w:hAnsi="仿宋" w:eastAsia="仿宋"/>
          <w:sz w:val="32"/>
        </w:rPr>
        <w:t>内设</w:t>
      </w:r>
      <w:r>
        <w:rPr>
          <w:rFonts w:hint="eastAsia" w:ascii="仿宋" w:hAnsi="仿宋" w:eastAsia="仿宋"/>
          <w:sz w:val="32"/>
          <w:lang w:val="en-US" w:eastAsia="zh-CN"/>
        </w:rPr>
        <w:t>8</w:t>
      </w:r>
      <w:r>
        <w:rPr>
          <w:rFonts w:hint="eastAsia" w:ascii="仿宋" w:hAnsi="仿宋" w:eastAsia="仿宋"/>
          <w:sz w:val="32"/>
        </w:rPr>
        <w:t>个机构，分别为</w:t>
      </w:r>
      <w:r>
        <w:rPr>
          <w:rFonts w:hint="eastAsia" w:ascii="仿宋" w:hAnsi="仿宋" w:eastAsia="仿宋"/>
          <w:sz w:val="32"/>
          <w:szCs w:val="32"/>
          <w:lang w:eastAsia="zh-CN"/>
        </w:rPr>
        <w:t>综合办公室、</w:t>
      </w:r>
      <w:r>
        <w:rPr>
          <w:rFonts w:hint="eastAsia" w:ascii="仿宋" w:hAnsi="仿宋" w:eastAsia="仿宋"/>
          <w:sz w:val="32"/>
          <w:lang w:eastAsia="zh-CN"/>
        </w:rPr>
        <w:t>党建工作办公室</w:t>
      </w:r>
      <w:r>
        <w:rPr>
          <w:rFonts w:hint="eastAsia" w:ascii="仿宋" w:hAnsi="仿宋" w:eastAsia="仿宋"/>
          <w:sz w:val="32"/>
          <w:szCs w:val="32"/>
          <w:lang w:eastAsia="zh-CN"/>
        </w:rPr>
        <w:t>、社会事务办公室、平安建设办公室、农业农村办公室、</w:t>
      </w:r>
      <w:r>
        <w:rPr>
          <w:rFonts w:hint="eastAsia" w:ascii="仿宋" w:hAnsi="仿宋" w:eastAsia="仿宋"/>
          <w:sz w:val="32"/>
          <w:lang w:eastAsia="zh-CN"/>
        </w:rPr>
        <w:t>综合行政执法办公室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lang w:eastAsia="zh-CN"/>
        </w:rPr>
        <w:t>财政经济办公室</w:t>
      </w:r>
      <w:r>
        <w:rPr>
          <w:rFonts w:hint="eastAsia" w:ascii="仿宋" w:hAnsi="仿宋" w:eastAsia="仿宋"/>
          <w:sz w:val="32"/>
          <w:szCs w:val="32"/>
          <w:lang w:eastAsia="zh-CN"/>
        </w:rPr>
        <w:t>、城乡建设管理办公室</w:t>
      </w:r>
    </w:p>
    <w:p w14:paraId="1E056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纳入</w:t>
      </w:r>
      <w:r>
        <w:rPr>
          <w:rFonts w:hint="eastAsia" w:ascii="仿宋" w:hAnsi="仿宋" w:eastAsia="仿宋"/>
          <w:sz w:val="32"/>
          <w:szCs w:val="30"/>
          <w:lang w:eastAsia="zh-CN"/>
        </w:rPr>
        <w:t>德惠市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大房身</w:t>
      </w:r>
      <w:r>
        <w:rPr>
          <w:rFonts w:hint="eastAsia" w:ascii="仿宋" w:hAnsi="仿宋" w:eastAsia="仿宋"/>
          <w:sz w:val="32"/>
          <w:szCs w:val="30"/>
          <w:lang w:eastAsia="zh-CN"/>
        </w:rPr>
        <w:t>镇人民政府</w:t>
      </w:r>
      <w:r>
        <w:rPr>
          <w:rFonts w:hint="eastAsia" w:ascii="宋体" w:hAnsi="宋体" w:eastAsia="仿宋"/>
          <w:sz w:val="32"/>
          <w:lang w:eastAsia="zh-CN"/>
        </w:rPr>
        <w:t>2023</w:t>
      </w:r>
      <w:r>
        <w:rPr>
          <w:rFonts w:hint="eastAsia" w:ascii="仿宋" w:hAnsi="仿宋" w:eastAsia="仿宋"/>
          <w:sz w:val="32"/>
        </w:rPr>
        <w:t>年度部门决算编制范围的单位包括：</w:t>
      </w:r>
    </w:p>
    <w:p w14:paraId="39653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1.</w:t>
      </w:r>
      <w:r>
        <w:rPr>
          <w:rFonts w:hint="eastAsia" w:ascii="仿宋" w:hAnsi="仿宋" w:eastAsia="仿宋"/>
          <w:sz w:val="32"/>
          <w:lang w:eastAsia="zh-CN"/>
        </w:rPr>
        <w:t>德惠市</w:t>
      </w:r>
      <w:r>
        <w:rPr>
          <w:rFonts w:hint="eastAsia" w:ascii="仿宋" w:hAnsi="仿宋" w:eastAsia="仿宋"/>
          <w:sz w:val="32"/>
          <w:lang w:val="en-US" w:eastAsia="zh-CN"/>
        </w:rPr>
        <w:t>大房身</w:t>
      </w:r>
      <w:r>
        <w:rPr>
          <w:rFonts w:hint="eastAsia" w:ascii="仿宋" w:hAnsi="仿宋" w:eastAsia="仿宋"/>
          <w:sz w:val="32"/>
          <w:lang w:eastAsia="zh-CN"/>
        </w:rPr>
        <w:t>镇人民政府</w:t>
      </w:r>
    </w:p>
    <w:p w14:paraId="383BE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0"/>
          <w:lang w:eastAsia="zh-CN"/>
        </w:rPr>
        <w:t>德惠市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大房身</w:t>
      </w:r>
      <w:r>
        <w:rPr>
          <w:rFonts w:hint="eastAsia" w:ascii="仿宋" w:hAnsi="仿宋" w:eastAsia="仿宋"/>
          <w:sz w:val="32"/>
          <w:szCs w:val="30"/>
          <w:lang w:eastAsia="zh-CN"/>
        </w:rPr>
        <w:t>镇综合服务中心</w:t>
      </w:r>
    </w:p>
    <w:p w14:paraId="6ADB97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</w:pPr>
    </w:p>
    <w:p w14:paraId="3375065D">
      <w:pPr>
        <w:pStyle w:val="2"/>
        <w:spacing w:line="328" w:lineRule="auto"/>
      </w:pPr>
    </w:p>
    <w:p w14:paraId="4297494C">
      <w:pPr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br w:type="page"/>
      </w:r>
    </w:p>
    <w:p w14:paraId="153DA5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jc w:val="center"/>
        <w:textAlignment w:val="baseline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第二部分</w:t>
      </w:r>
      <w:r>
        <w:rPr>
          <w:rFonts w:hint="eastAsia" w:ascii="黑体" w:hAnsi="黑体" w:eastAsia="黑体" w:cs="黑体"/>
          <w:spacing w:val="111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2023</w:t>
      </w:r>
      <w:r>
        <w:rPr>
          <w:rFonts w:hint="eastAsia" w:ascii="黑体" w:hAnsi="黑体" w:eastAsia="黑体" w:cs="黑体"/>
          <w:spacing w:val="-103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年度部门决算表</w:t>
      </w:r>
    </w:p>
    <w:p w14:paraId="1153884D">
      <w:pPr>
        <w:pStyle w:val="2"/>
        <w:spacing w:line="268" w:lineRule="auto"/>
      </w:pPr>
    </w:p>
    <w:p w14:paraId="16D98930">
      <w:pPr>
        <w:pStyle w:val="2"/>
        <w:spacing w:line="268" w:lineRule="auto"/>
      </w:pPr>
    </w:p>
    <w:p w14:paraId="1DBEBDA4">
      <w:pPr>
        <w:pStyle w:val="2"/>
        <w:spacing w:line="268" w:lineRule="auto"/>
      </w:pPr>
    </w:p>
    <w:p w14:paraId="68510A46">
      <w:pPr>
        <w:spacing w:before="100" w:line="224" w:lineRule="auto"/>
        <w:ind w:left="672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一、收入支出决算总表</w:t>
      </w:r>
    </w:p>
    <w:p w14:paraId="25DF3ADC">
      <w:pPr>
        <w:spacing w:before="100" w:line="224" w:lineRule="auto"/>
        <w:ind w:left="672"/>
        <w:rPr>
          <w:rFonts w:ascii="黑体" w:hAnsi="黑体" w:eastAsia="黑体" w:cs="黑体"/>
          <w:spacing w:val="7"/>
          <w:sz w:val="31"/>
          <w:szCs w:val="31"/>
        </w:rPr>
      </w:pPr>
    </w:p>
    <w:p w14:paraId="3F60D19E">
      <w:pPr>
        <w:spacing w:before="101" w:line="5918" w:lineRule="exact"/>
        <w:ind w:firstLine="194"/>
      </w:pPr>
      <w:r>
        <w:drawing>
          <wp:inline distT="0" distB="0" distL="114300" distR="114300">
            <wp:extent cx="5291455" cy="3411220"/>
            <wp:effectExtent l="0" t="0" r="444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DBD54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7" w:h="16839"/>
          <w:pgMar w:top="1431" w:right="1722" w:bottom="1150" w:left="1785" w:header="0" w:footer="965" w:gutter="0"/>
          <w:cols w:space="720" w:num="1"/>
        </w:sectPr>
      </w:pPr>
    </w:p>
    <w:p w14:paraId="49ECFC9C">
      <w:pPr>
        <w:spacing w:before="100" w:line="224" w:lineRule="auto"/>
        <w:ind w:left="672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二、</w:t>
      </w:r>
      <w:r>
        <w:rPr>
          <w:rFonts w:ascii="黑体" w:hAnsi="黑体" w:eastAsia="黑体" w:cs="黑体"/>
          <w:spacing w:val="7"/>
          <w:sz w:val="31"/>
          <w:szCs w:val="31"/>
        </w:rPr>
        <w:t>收入决算表</w:t>
      </w:r>
    </w:p>
    <w:p w14:paraId="7E352D71">
      <w:pPr>
        <w:spacing w:before="100" w:line="224" w:lineRule="auto"/>
        <w:rPr>
          <w:rFonts w:hint="eastAsia" w:ascii="黑体" w:hAnsi="黑体" w:eastAsia="宋体" w:cs="黑体"/>
          <w:spacing w:val="7"/>
          <w:sz w:val="31"/>
          <w:szCs w:val="31"/>
          <w:lang w:val="en-US" w:eastAsia="zh-CN"/>
        </w:rPr>
      </w:pPr>
      <w:r>
        <w:drawing>
          <wp:inline distT="0" distB="0" distL="114300" distR="114300">
            <wp:extent cx="5290185" cy="4449445"/>
            <wp:effectExtent l="0" t="0" r="5715" b="825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2725" cy="1932305"/>
            <wp:effectExtent l="0" t="0" r="317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DE669">
      <w:pPr>
        <w:numPr>
          <w:ilvl w:val="0"/>
          <w:numId w:val="0"/>
        </w:num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 w14:paraId="43A9AAC3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1F69DD70">
      <w:pPr>
        <w:pStyle w:val="2"/>
        <w:spacing w:line="339" w:lineRule="auto"/>
      </w:pPr>
    </w:p>
    <w:p w14:paraId="36FE25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4" w:lineRule="auto"/>
        <w:ind w:left="0" w:firstLine="648" w:firstLineChars="200"/>
        <w:textAlignment w:val="baseline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三、支出决算表</w:t>
      </w:r>
    </w:p>
    <w:p w14:paraId="707577AD">
      <w:pPr>
        <w:spacing w:before="101" w:line="224" w:lineRule="auto"/>
        <w:jc w:val="center"/>
        <w:rPr>
          <w:rFonts w:ascii="黑体" w:hAnsi="黑体" w:eastAsia="黑体" w:cs="黑体"/>
          <w:sz w:val="31"/>
          <w:szCs w:val="31"/>
        </w:rPr>
      </w:pPr>
      <w:r>
        <w:drawing>
          <wp:inline distT="0" distB="0" distL="114300" distR="114300">
            <wp:extent cx="5293360" cy="4756150"/>
            <wp:effectExtent l="0" t="0" r="2540" b="635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4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1455" cy="3491230"/>
            <wp:effectExtent l="0" t="0" r="4445" b="13970"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72D0D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 w14:paraId="50141A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4" w:lineRule="auto"/>
        <w:ind w:left="0" w:firstLine="648" w:firstLineChars="200"/>
        <w:textAlignment w:val="baseline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四、财政拨款收入支出决算总表</w:t>
      </w:r>
    </w:p>
    <w:p w14:paraId="432A9752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drawing>
          <wp:inline distT="0" distB="0" distL="114300" distR="114300">
            <wp:extent cx="5290185" cy="3173095"/>
            <wp:effectExtent l="0" t="0" r="5715" b="825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48905">
      <w:pPr>
        <w:pStyle w:val="2"/>
        <w:spacing w:line="245" w:lineRule="auto"/>
      </w:pPr>
    </w:p>
    <w:p w14:paraId="5EB218AA">
      <w:pPr>
        <w:spacing w:line="4378" w:lineRule="exact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E0962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4" w:lineRule="auto"/>
        <w:ind w:left="0" w:firstLine="652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五、一般公共预算财政拨款支出决算表</w:t>
      </w:r>
      <w:r>
        <w:drawing>
          <wp:inline distT="0" distB="0" distL="114300" distR="114300">
            <wp:extent cx="5290185" cy="4507230"/>
            <wp:effectExtent l="0" t="0" r="5715" b="7620"/>
            <wp:docPr id="2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450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0185" cy="2418715"/>
            <wp:effectExtent l="0" t="0" r="5715" b="635"/>
            <wp:docPr id="2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8D825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11174860">
      <w:pPr>
        <w:pStyle w:val="2"/>
        <w:spacing w:line="339" w:lineRule="auto"/>
      </w:pPr>
    </w:p>
    <w:p w14:paraId="5F61728B">
      <w:pPr>
        <w:pStyle w:val="2"/>
        <w:spacing w:line="339" w:lineRule="auto"/>
      </w:pPr>
    </w:p>
    <w:p w14:paraId="736EEC7F">
      <w:pPr>
        <w:spacing w:before="100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六、一般公共预算财政拨款基本支出决算明细表</w:t>
      </w:r>
    </w:p>
    <w:p w14:paraId="6FCCAFF8">
      <w:pPr>
        <w:spacing w:before="234" w:line="5964" w:lineRule="exact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drawing>
          <wp:inline distT="0" distB="0" distL="114300" distR="114300">
            <wp:extent cx="5292725" cy="2988310"/>
            <wp:effectExtent l="0" t="0" r="3175" b="2540"/>
            <wp:docPr id="2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E531">
      <w:pPr>
        <w:pStyle w:val="2"/>
        <w:spacing w:line="339" w:lineRule="auto"/>
      </w:pPr>
    </w:p>
    <w:p w14:paraId="5C642C5F">
      <w:pPr>
        <w:pStyle w:val="2"/>
        <w:spacing w:line="340" w:lineRule="auto"/>
      </w:pPr>
    </w:p>
    <w:p w14:paraId="4063FF0C">
      <w:pPr>
        <w:spacing w:before="101" w:line="224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七、政府性基金预算财政拨款收入支出决算表</w:t>
      </w:r>
      <w:r>
        <w:drawing>
          <wp:inline distT="0" distB="0" distL="114300" distR="114300">
            <wp:extent cx="5288915" cy="2503805"/>
            <wp:effectExtent l="0" t="0" r="6985" b="1079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36EFA">
      <w:pPr>
        <w:spacing w:before="235" w:line="4714" w:lineRule="exact"/>
        <w:ind w:firstLine="240"/>
      </w:pPr>
    </w:p>
    <w:p w14:paraId="6570798F">
      <w:pPr>
        <w:pStyle w:val="2"/>
        <w:spacing w:line="270" w:lineRule="auto"/>
      </w:pPr>
    </w:p>
    <w:p w14:paraId="0FC88139">
      <w:pPr>
        <w:pStyle w:val="2"/>
        <w:spacing w:line="270" w:lineRule="auto"/>
      </w:pPr>
    </w:p>
    <w:p w14:paraId="05AF471D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417ED976">
      <w:pPr>
        <w:pStyle w:val="2"/>
        <w:spacing w:line="339" w:lineRule="auto"/>
      </w:pPr>
    </w:p>
    <w:p w14:paraId="364C5087">
      <w:pPr>
        <w:pStyle w:val="2"/>
        <w:spacing w:line="340" w:lineRule="auto"/>
      </w:pPr>
    </w:p>
    <w:p w14:paraId="1045408A">
      <w:pPr>
        <w:spacing w:before="101" w:line="224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八、国有资本经营预算财政拨款支出决算表</w:t>
      </w:r>
      <w:r>
        <w:drawing>
          <wp:inline distT="0" distB="0" distL="114300" distR="114300">
            <wp:extent cx="5290185" cy="2645410"/>
            <wp:effectExtent l="0" t="0" r="5715" b="254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4C490">
      <w:pPr>
        <w:spacing w:line="240" w:lineRule="auto"/>
        <w:ind w:firstLine="0"/>
        <w:rPr>
          <w:rFonts w:hint="default" w:eastAsia="宋体"/>
          <w:position w:val="-96"/>
          <w:sz w:val="18"/>
          <w:szCs w:val="18"/>
          <w:lang w:val="en-US" w:eastAsia="zh-CN"/>
        </w:rPr>
      </w:pPr>
      <w:r>
        <w:rPr>
          <w:rFonts w:hint="eastAsia" w:eastAsia="宋体"/>
          <w:position w:val="-96"/>
          <w:sz w:val="28"/>
          <w:szCs w:val="28"/>
          <w:lang w:val="en-US" w:eastAsia="zh-CN"/>
        </w:rPr>
        <w:t>本单位无国有资本经营预算财政拨款支出</w:t>
      </w:r>
    </w:p>
    <w:p w14:paraId="238D71F5">
      <w:pPr>
        <w:pStyle w:val="2"/>
        <w:spacing w:line="253" w:lineRule="auto"/>
      </w:pPr>
    </w:p>
    <w:p w14:paraId="6351CBA1">
      <w:pPr>
        <w:pStyle w:val="2"/>
        <w:spacing w:line="253" w:lineRule="auto"/>
      </w:pPr>
    </w:p>
    <w:p w14:paraId="3AE03FAE">
      <w:pPr>
        <w:pStyle w:val="2"/>
        <w:spacing w:line="253" w:lineRule="auto"/>
      </w:pPr>
    </w:p>
    <w:p w14:paraId="18702694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71DBFAA9">
      <w:pPr>
        <w:spacing w:before="101" w:line="224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九、财政拨款“三公”经费支出决算表</w:t>
      </w:r>
    </w:p>
    <w:p w14:paraId="015873E4">
      <w:pPr>
        <w:spacing w:before="96" w:line="5302" w:lineRule="exact"/>
        <w:ind w:firstLine="237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drawing>
          <wp:inline distT="0" distB="0" distL="114300" distR="114300">
            <wp:extent cx="5286375" cy="1539240"/>
            <wp:effectExtent l="0" t="0" r="9525" b="3810"/>
            <wp:docPr id="2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A4B63">
      <w:pPr>
        <w:spacing w:before="100" w:line="224" w:lineRule="auto"/>
        <w:ind w:left="30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十、部门预算项目支出绩效自评表</w:t>
      </w:r>
    </w:p>
    <w:p w14:paraId="6514DD1C">
      <w:pPr>
        <w:spacing w:before="100" w:line="224" w:lineRule="auto"/>
        <w:ind w:left="30"/>
        <w:rPr>
          <w:rFonts w:ascii="黑体" w:hAnsi="黑体" w:eastAsia="黑体" w:cs="黑体"/>
          <w:spacing w:val="8"/>
          <w:sz w:val="31"/>
          <w:szCs w:val="31"/>
        </w:rPr>
      </w:pPr>
    </w:p>
    <w:p w14:paraId="0E1A8921">
      <w:pPr>
        <w:spacing w:line="9847" w:lineRule="exact"/>
        <w:sectPr>
          <w:footerReference r:id="rId17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drawing>
          <wp:inline distT="0" distB="0" distL="114300" distR="114300">
            <wp:extent cx="5293995" cy="5019040"/>
            <wp:effectExtent l="0" t="0" r="1905" b="10160"/>
            <wp:docPr id="2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50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6FD51">
      <w:pPr>
        <w:spacing w:before="225" w:line="443" w:lineRule="exact"/>
        <w:jc w:val="center"/>
        <w:outlineLvl w:val="0"/>
        <w:rPr>
          <w:rFonts w:hint="eastAsia"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spacing w:val="5"/>
          <w:position w:val="-2"/>
          <w:sz w:val="43"/>
          <w:szCs w:val="43"/>
        </w:rPr>
        <w:t>第三部分</w:t>
      </w:r>
      <w:r>
        <w:rPr>
          <w:rFonts w:hint="eastAsia" w:ascii="黑体" w:hAnsi="黑体" w:eastAsia="黑体" w:cs="黑体"/>
          <w:spacing w:val="103"/>
          <w:position w:val="-2"/>
          <w:sz w:val="43"/>
          <w:szCs w:val="43"/>
        </w:rPr>
        <w:t xml:space="preserve"> </w:t>
      </w:r>
      <w:r>
        <w:rPr>
          <w:rFonts w:hint="eastAsia" w:ascii="黑体" w:hAnsi="黑体" w:eastAsia="黑体" w:cs="黑体"/>
          <w:spacing w:val="5"/>
          <w:position w:val="-2"/>
          <w:sz w:val="43"/>
          <w:szCs w:val="43"/>
        </w:rPr>
        <w:t>2023年度部门决算情况说明</w:t>
      </w:r>
    </w:p>
    <w:p w14:paraId="4871820F">
      <w:pPr>
        <w:pStyle w:val="2"/>
        <w:spacing w:line="314" w:lineRule="auto"/>
      </w:pPr>
    </w:p>
    <w:p w14:paraId="36551B23">
      <w:pPr>
        <w:pStyle w:val="2"/>
        <w:spacing w:line="314" w:lineRule="auto"/>
      </w:pPr>
    </w:p>
    <w:p w14:paraId="649A3008">
      <w:pPr>
        <w:pStyle w:val="2"/>
        <w:spacing w:line="315" w:lineRule="auto"/>
      </w:pPr>
    </w:p>
    <w:p w14:paraId="40C7F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一、收入支出决算总体情况说明</w:t>
      </w:r>
    </w:p>
    <w:p w14:paraId="6C2D5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pacing w:val="0"/>
          <w:sz w:val="32"/>
          <w:szCs w:val="32"/>
        </w:rPr>
        <w:t>2023</w:t>
      </w:r>
      <w:r>
        <w:rPr>
          <w:rFonts w:ascii="仿宋" w:hAnsi="仿宋" w:eastAsia="仿宋" w:cs="仿宋"/>
          <w:spacing w:val="0"/>
          <w:sz w:val="32"/>
          <w:szCs w:val="32"/>
        </w:rPr>
        <w:t>年度收、支总计均为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2987.3</w:t>
      </w:r>
      <w:r>
        <w:rPr>
          <w:rFonts w:ascii="仿宋" w:hAnsi="仿宋" w:eastAsia="仿宋" w:cs="仿宋"/>
          <w:spacing w:val="0"/>
          <w:sz w:val="32"/>
          <w:szCs w:val="32"/>
        </w:rPr>
        <w:t>万元。与</w:t>
      </w:r>
      <w:r>
        <w:rPr>
          <w:rFonts w:ascii="宋体" w:hAnsi="宋体" w:eastAsia="宋体" w:cs="宋体"/>
          <w:spacing w:val="0"/>
          <w:sz w:val="32"/>
          <w:szCs w:val="32"/>
        </w:rPr>
        <w:t>2022</w:t>
      </w:r>
      <w:r>
        <w:rPr>
          <w:rFonts w:ascii="仿宋" w:hAnsi="仿宋" w:eastAsia="仿宋" w:cs="仿宋"/>
          <w:spacing w:val="0"/>
          <w:sz w:val="32"/>
          <w:szCs w:val="32"/>
        </w:rPr>
        <w:t>年度相比，收、支总计各增加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318.19</w:t>
      </w:r>
      <w:r>
        <w:rPr>
          <w:rFonts w:ascii="仿宋" w:hAnsi="仿宋" w:eastAsia="仿宋" w:cs="仿宋"/>
          <w:spacing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0.9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ascii="仿宋" w:hAnsi="仿宋" w:eastAsia="仿宋" w:cs="仿宋"/>
          <w:spacing w:val="0"/>
          <w:sz w:val="32"/>
          <w:szCs w:val="32"/>
        </w:rPr>
        <w:t>。主要原因：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人员增加。</w:t>
      </w:r>
    </w:p>
    <w:p w14:paraId="43EB6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二、收入决算情况说明</w:t>
      </w:r>
    </w:p>
    <w:p w14:paraId="5A102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本年收入合计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2987.3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万元，其中：财政拨款收入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2987.3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万元，比上年增加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318.19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0.9</w:t>
      </w:r>
      <w:r>
        <w:rPr>
          <w:rFonts w:hint="eastAsia" w:ascii="仿宋" w:hAnsi="仿宋" w:eastAsia="仿宋" w:cs="仿宋"/>
          <w:spacing w:val="0"/>
          <w:sz w:val="32"/>
          <w:szCs w:val="32"/>
        </w:rPr>
        <w:t>%，主要是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人员增加。</w:t>
      </w:r>
    </w:p>
    <w:p w14:paraId="17CE3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三、支出决算情况说明</w:t>
      </w:r>
    </w:p>
    <w:p w14:paraId="15CCE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0"/>
          <w:sz w:val="32"/>
          <w:szCs w:val="32"/>
        </w:rPr>
        <w:t>本年支出合计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2987.3</w:t>
      </w:r>
      <w:r>
        <w:rPr>
          <w:rFonts w:ascii="仿宋" w:hAnsi="仿宋" w:eastAsia="仿宋" w:cs="仿宋"/>
          <w:spacing w:val="0"/>
          <w:sz w:val="32"/>
          <w:szCs w:val="32"/>
        </w:rPr>
        <w:t>万元，其中：基本支出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1560.13</w:t>
      </w:r>
      <w:r>
        <w:rPr>
          <w:rFonts w:ascii="仿宋" w:hAnsi="仿宋" w:eastAsia="仿宋" w:cs="仿宋"/>
          <w:spacing w:val="0"/>
          <w:sz w:val="32"/>
          <w:szCs w:val="32"/>
        </w:rPr>
        <w:t>万元，比上年增加（减少）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166.76</w:t>
      </w:r>
      <w:r>
        <w:rPr>
          <w:rFonts w:ascii="仿宋" w:hAnsi="仿宋" w:eastAsia="仿宋" w:cs="仿宋"/>
          <w:spacing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0.9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ascii="仿宋" w:hAnsi="仿宋" w:eastAsia="仿宋" w:cs="仿宋"/>
          <w:spacing w:val="0"/>
          <w:sz w:val="32"/>
          <w:szCs w:val="32"/>
        </w:rPr>
        <w:t>，主要是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人员增加</w:t>
      </w:r>
      <w:r>
        <w:rPr>
          <w:rFonts w:ascii="仿宋" w:hAnsi="仿宋" w:eastAsia="仿宋" w:cs="仿宋"/>
          <w:spacing w:val="0"/>
          <w:sz w:val="32"/>
          <w:szCs w:val="32"/>
        </w:rPr>
        <w:t>；项目支出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1427.17</w:t>
      </w:r>
      <w:r>
        <w:rPr>
          <w:rFonts w:ascii="仿宋" w:hAnsi="仿宋" w:eastAsia="仿宋" w:cs="仿宋"/>
          <w:spacing w:val="0"/>
          <w:sz w:val="32"/>
          <w:szCs w:val="32"/>
        </w:rPr>
        <w:t>万元，比上年增加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131.26</w:t>
      </w:r>
      <w:r>
        <w:rPr>
          <w:rFonts w:ascii="仿宋" w:hAnsi="仿宋" w:eastAsia="仿宋" w:cs="仿宋"/>
          <w:spacing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0.9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hint="eastAsia" w:ascii="宋体" w:hAnsi="宋体" w:eastAsia="宋体" w:cs="宋体"/>
          <w:spacing w:val="0"/>
          <w:sz w:val="32"/>
          <w:szCs w:val="32"/>
          <w:lang w:eastAsia="zh-CN"/>
        </w:rPr>
        <w:t>。</w:t>
      </w:r>
    </w:p>
    <w:p w14:paraId="02C97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四、财政拨款收入支出决算总体情况说明</w:t>
      </w:r>
    </w:p>
    <w:p w14:paraId="4F7EC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0"/>
          <w:sz w:val="32"/>
          <w:szCs w:val="32"/>
        </w:rPr>
        <w:t>2023年度财政拨款收、支总计均为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2987.31</w:t>
      </w:r>
      <w:r>
        <w:rPr>
          <w:rFonts w:ascii="仿宋" w:hAnsi="仿宋" w:eastAsia="仿宋" w:cs="仿宋"/>
          <w:spacing w:val="0"/>
          <w:sz w:val="32"/>
          <w:szCs w:val="32"/>
        </w:rPr>
        <w:t>万元，与2022年相比，财政拨款收、支总计各增加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318.19</w:t>
      </w:r>
      <w:r>
        <w:rPr>
          <w:rFonts w:ascii="仿宋" w:hAnsi="仿宋" w:eastAsia="仿宋" w:cs="仿宋"/>
          <w:spacing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0.9</w:t>
      </w:r>
      <w:r>
        <w:rPr>
          <w:rFonts w:ascii="仿宋" w:hAnsi="仿宋" w:eastAsia="仿宋" w:cs="仿宋"/>
          <w:spacing w:val="0"/>
          <w:sz w:val="32"/>
          <w:szCs w:val="32"/>
        </w:rPr>
        <w:t>%。主要原因: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人员增加。</w:t>
      </w:r>
    </w:p>
    <w:p w14:paraId="7F155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五、一般公共预算财政拨款支出决算情况说明</w:t>
      </w:r>
    </w:p>
    <w:p w14:paraId="4D96C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3" w:firstLineChars="200"/>
        <w:jc w:val="both"/>
        <w:textAlignment w:val="baseline"/>
        <w:outlineLvl w:val="2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仿宋" w:hAnsi="仿宋" w:eastAsia="仿宋" w:cs="仿宋"/>
          <w:b/>
          <w:bCs/>
          <w:spacing w:val="0"/>
          <w:sz w:val="32"/>
          <w:szCs w:val="32"/>
        </w:rPr>
        <w:t>（一）一般公共预算财政拨款支出决算总体情况</w:t>
      </w:r>
    </w:p>
    <w:p w14:paraId="39F1B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ascii="宋体" w:hAnsi="宋体" w:eastAsia="宋体" w:cs="宋体"/>
          <w:spacing w:val="0"/>
          <w:sz w:val="32"/>
          <w:szCs w:val="32"/>
        </w:rPr>
        <w:t>2023</w:t>
      </w:r>
      <w:r>
        <w:rPr>
          <w:rFonts w:ascii="仿宋" w:hAnsi="仿宋" w:eastAsia="仿宋" w:cs="仿宋"/>
          <w:spacing w:val="0"/>
          <w:sz w:val="32"/>
          <w:szCs w:val="32"/>
        </w:rPr>
        <w:t>年度一般公共预算财政拨款支出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2823.54</w:t>
      </w:r>
      <w:r>
        <w:rPr>
          <w:rFonts w:ascii="仿宋" w:hAnsi="仿宋" w:eastAsia="仿宋" w:cs="仿宋"/>
          <w:spacing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占</w:t>
      </w:r>
      <w:r>
        <w:rPr>
          <w:rFonts w:ascii="仿宋" w:hAnsi="仿宋" w:eastAsia="仿宋" w:cs="仿宋"/>
          <w:spacing w:val="0"/>
          <w:sz w:val="32"/>
          <w:szCs w:val="32"/>
        </w:rPr>
        <w:t>本年支出合计的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100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ascii="仿宋" w:hAnsi="仿宋" w:eastAsia="仿宋" w:cs="仿宋"/>
          <w:spacing w:val="0"/>
          <w:sz w:val="32"/>
          <w:szCs w:val="32"/>
        </w:rPr>
        <w:t>。与</w:t>
      </w:r>
      <w:r>
        <w:rPr>
          <w:rFonts w:ascii="宋体" w:hAnsi="宋体" w:eastAsia="宋体" w:cs="宋体"/>
          <w:spacing w:val="0"/>
          <w:sz w:val="32"/>
          <w:szCs w:val="32"/>
        </w:rPr>
        <w:t>2022</w:t>
      </w:r>
      <w:r>
        <w:rPr>
          <w:rFonts w:ascii="仿宋" w:hAnsi="仿宋" w:eastAsia="仿宋" w:cs="仿宋"/>
          <w:spacing w:val="0"/>
          <w:sz w:val="32"/>
          <w:szCs w:val="32"/>
        </w:rPr>
        <w:t>年度相比，一般公共预算财政拨款支出增加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134.26</w:t>
      </w:r>
      <w:r>
        <w:rPr>
          <w:rFonts w:ascii="仿宋" w:hAnsi="仿宋" w:eastAsia="仿宋" w:cs="仿宋"/>
          <w:spacing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0.95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ascii="仿宋" w:hAnsi="仿宋" w:eastAsia="仿宋" w:cs="仿宋"/>
          <w:spacing w:val="0"/>
          <w:sz w:val="32"/>
          <w:szCs w:val="32"/>
        </w:rPr>
        <w:t>。主要原因：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人员增加</w:t>
      </w:r>
    </w:p>
    <w:p w14:paraId="20556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3" w:firstLineChars="200"/>
        <w:jc w:val="both"/>
        <w:textAlignment w:val="baseline"/>
        <w:outlineLvl w:val="2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仿宋" w:hAnsi="仿宋" w:eastAsia="仿宋" w:cs="仿宋"/>
          <w:b/>
          <w:bCs/>
          <w:spacing w:val="0"/>
          <w:sz w:val="32"/>
          <w:szCs w:val="32"/>
        </w:rPr>
        <w:t>（二）一般公共预算财政拨款支出决算结构情况</w:t>
      </w:r>
    </w:p>
    <w:p w14:paraId="706F4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pacing w:val="0"/>
          <w:sz w:val="32"/>
          <w:szCs w:val="32"/>
        </w:rPr>
        <w:t>2023</w:t>
      </w:r>
      <w:r>
        <w:rPr>
          <w:rFonts w:ascii="仿宋" w:hAnsi="仿宋" w:eastAsia="仿宋" w:cs="仿宋"/>
          <w:spacing w:val="0"/>
          <w:sz w:val="32"/>
          <w:szCs w:val="32"/>
        </w:rPr>
        <w:t>年度一般公共预算财政拨款支出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2987.3</w:t>
      </w:r>
      <w:r>
        <w:rPr>
          <w:rFonts w:ascii="仿宋" w:hAnsi="仿宋" w:eastAsia="仿宋" w:cs="仿宋"/>
          <w:spacing w:val="0"/>
          <w:sz w:val="32"/>
          <w:szCs w:val="32"/>
        </w:rPr>
        <w:t>万元，主要用于以下方面：一般公共服务支出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1331.91</w:t>
      </w:r>
      <w:r>
        <w:rPr>
          <w:rFonts w:ascii="仿宋" w:hAnsi="仿宋" w:eastAsia="仿宋" w:cs="仿宋"/>
          <w:spacing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44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ascii="仿宋" w:hAnsi="仿宋" w:eastAsia="仿宋" w:cs="仿宋"/>
          <w:spacing w:val="0"/>
          <w:sz w:val="32"/>
          <w:szCs w:val="32"/>
        </w:rPr>
        <w:t>；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文化旅游体育与传媒支出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13.63</w:t>
      </w:r>
      <w:r>
        <w:rPr>
          <w:rFonts w:ascii="仿宋" w:hAnsi="仿宋" w:eastAsia="仿宋" w:cs="仿宋"/>
          <w:spacing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0.04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ascii="仿宋" w:hAnsi="仿宋" w:eastAsia="仿宋" w:cs="仿宋"/>
          <w:spacing w:val="0"/>
          <w:sz w:val="32"/>
          <w:szCs w:val="32"/>
        </w:rPr>
        <w:t>；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社会保障和就业支出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311.47</w:t>
      </w:r>
      <w:r>
        <w:rPr>
          <w:rFonts w:ascii="仿宋" w:hAnsi="仿宋" w:eastAsia="仿宋" w:cs="仿宋"/>
          <w:spacing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10.96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ascii="仿宋" w:hAnsi="仿宋" w:eastAsia="仿宋" w:cs="仿宋"/>
          <w:spacing w:val="0"/>
          <w:sz w:val="32"/>
          <w:szCs w:val="32"/>
        </w:rPr>
        <w:t>；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卫生健康</w:t>
      </w:r>
      <w:r>
        <w:rPr>
          <w:rFonts w:ascii="仿宋" w:hAnsi="仿宋" w:eastAsia="仿宋" w:cs="仿宋"/>
          <w:spacing w:val="0"/>
          <w:sz w:val="32"/>
          <w:szCs w:val="32"/>
        </w:rPr>
        <w:t>支出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104.23</w:t>
      </w:r>
      <w:r>
        <w:rPr>
          <w:rFonts w:ascii="仿宋" w:hAnsi="仿宋" w:eastAsia="仿宋" w:cs="仿宋"/>
          <w:spacing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hint="eastAsia" w:ascii="宋体" w:hAnsi="宋体" w:eastAsia="宋体" w:cs="宋体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节能环保</w:t>
      </w:r>
      <w:r>
        <w:rPr>
          <w:rFonts w:ascii="仿宋" w:hAnsi="仿宋" w:eastAsia="仿宋" w:cs="仿宋"/>
          <w:spacing w:val="0"/>
          <w:sz w:val="32"/>
          <w:szCs w:val="32"/>
        </w:rPr>
        <w:t>支出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281.38</w:t>
      </w:r>
      <w:r>
        <w:rPr>
          <w:rFonts w:ascii="仿宋" w:hAnsi="仿宋" w:eastAsia="仿宋" w:cs="仿宋"/>
          <w:spacing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10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ascii="仿宋" w:hAnsi="仿宋" w:eastAsia="仿宋" w:cs="仿宋"/>
          <w:spacing w:val="0"/>
          <w:sz w:val="32"/>
          <w:szCs w:val="32"/>
        </w:rPr>
        <w:t>；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城乡社区支出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300.97万元，占15%。农林水支出470.52万元。占比14.59%。住房保障支出91.19万元。占比0.3%。灾害防治及应急管理支出30万元。占比0.1。其他支出52万元。占比0.01。</w:t>
      </w:r>
    </w:p>
    <w:p w14:paraId="2B02A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3" w:firstLineChars="200"/>
        <w:jc w:val="both"/>
        <w:textAlignment w:val="baseline"/>
        <w:outlineLvl w:val="2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仿宋" w:hAnsi="仿宋" w:eastAsia="仿宋" w:cs="仿宋"/>
          <w:b/>
          <w:bCs/>
          <w:spacing w:val="0"/>
          <w:sz w:val="32"/>
          <w:szCs w:val="32"/>
        </w:rPr>
        <w:t>（三）一般公共预算财政拨款支出决算具体情况</w:t>
      </w:r>
    </w:p>
    <w:p w14:paraId="51910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宋体" w:hAnsi="宋体" w:eastAsia="宋体" w:cs="宋体"/>
          <w:spacing w:val="0"/>
          <w:sz w:val="32"/>
          <w:szCs w:val="32"/>
        </w:rPr>
        <w:t>2023</w:t>
      </w:r>
      <w:r>
        <w:rPr>
          <w:rFonts w:ascii="仿宋" w:hAnsi="仿宋" w:eastAsia="仿宋" w:cs="仿宋"/>
          <w:spacing w:val="0"/>
          <w:sz w:val="32"/>
          <w:szCs w:val="32"/>
        </w:rPr>
        <w:t>年度一般公共预算财政拨款支出年初预算为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1331.91</w:t>
      </w:r>
      <w:r>
        <w:rPr>
          <w:rFonts w:ascii="仿宋" w:hAnsi="仿宋" w:eastAsia="仿宋" w:cs="仿宋"/>
          <w:spacing w:val="0"/>
          <w:sz w:val="32"/>
          <w:szCs w:val="32"/>
        </w:rPr>
        <w:t>万元，支出决算为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1331.91</w:t>
      </w:r>
      <w:r>
        <w:rPr>
          <w:rFonts w:ascii="仿宋" w:hAnsi="仿宋" w:eastAsia="仿宋" w:cs="仿宋"/>
          <w:spacing w:val="0"/>
          <w:sz w:val="32"/>
          <w:szCs w:val="32"/>
        </w:rPr>
        <w:t>万元，完成年初预算的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100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ascii="仿宋" w:hAnsi="仿宋" w:eastAsia="仿宋" w:cs="仿宋"/>
          <w:spacing w:val="0"/>
          <w:sz w:val="32"/>
          <w:szCs w:val="32"/>
        </w:rPr>
        <w:t>。其中：</w:t>
      </w:r>
    </w:p>
    <w:p w14:paraId="5803D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宋体" w:hAnsi="宋体" w:eastAsia="宋体" w:cs="宋体"/>
          <w:spacing w:val="0"/>
          <w:sz w:val="32"/>
          <w:szCs w:val="32"/>
        </w:rPr>
        <w:t>1.</w:t>
      </w:r>
      <w:r>
        <w:rPr>
          <w:rFonts w:ascii="仿宋" w:hAnsi="仿宋" w:eastAsia="仿宋" w:cs="仿宋"/>
          <w:spacing w:val="0"/>
          <w:sz w:val="32"/>
          <w:szCs w:val="32"/>
        </w:rPr>
        <w:t>一般公共服务（类）财政事务（款）行政运行（项）。年初预算为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311.47</w:t>
      </w:r>
      <w:r>
        <w:rPr>
          <w:rFonts w:ascii="仿宋" w:hAnsi="仿宋" w:eastAsia="仿宋" w:cs="仿宋"/>
          <w:spacing w:val="0"/>
          <w:sz w:val="32"/>
          <w:szCs w:val="32"/>
        </w:rPr>
        <w:t>万元，支出决算为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311.47</w:t>
      </w:r>
      <w:r>
        <w:rPr>
          <w:rFonts w:ascii="仿宋" w:hAnsi="仿宋" w:eastAsia="仿宋" w:cs="仿宋"/>
          <w:spacing w:val="0"/>
          <w:sz w:val="32"/>
          <w:szCs w:val="32"/>
        </w:rPr>
        <w:t>万元，完成年初预算的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100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ascii="仿宋" w:hAnsi="仿宋" w:eastAsia="仿宋" w:cs="仿宋"/>
          <w:spacing w:val="0"/>
          <w:sz w:val="32"/>
          <w:szCs w:val="32"/>
        </w:rPr>
        <w:t>。决算数大（小）于预算数的主要原因是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无</w:t>
      </w:r>
      <w:r>
        <w:rPr>
          <w:rFonts w:ascii="仿宋" w:hAnsi="仿宋" w:eastAsia="仿宋" w:cs="仿宋"/>
          <w:spacing w:val="0"/>
          <w:sz w:val="32"/>
          <w:szCs w:val="32"/>
        </w:rPr>
        <w:t>。</w:t>
      </w:r>
    </w:p>
    <w:p w14:paraId="0FD37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ascii="宋体" w:hAnsi="宋体" w:eastAsia="宋体" w:cs="宋体"/>
          <w:spacing w:val="0"/>
          <w:sz w:val="32"/>
          <w:szCs w:val="32"/>
        </w:rPr>
        <w:t>2.</w:t>
      </w:r>
      <w:r>
        <w:rPr>
          <w:rFonts w:hint="eastAsia" w:ascii="仿宋" w:hAnsi="仿宋" w:eastAsia="仿宋"/>
          <w:spacing w:val="0"/>
          <w:sz w:val="32"/>
          <w:szCs w:val="32"/>
        </w:rPr>
        <w:t>文化旅游体育与传媒支出年初预算为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13.63万</w:t>
      </w:r>
      <w:r>
        <w:rPr>
          <w:rFonts w:hint="eastAsia" w:ascii="仿宋" w:hAnsi="仿宋" w:eastAsia="仿宋"/>
          <w:spacing w:val="0"/>
          <w:sz w:val="32"/>
          <w:szCs w:val="32"/>
        </w:rPr>
        <w:t>元，支出决算为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13.63</w:t>
      </w:r>
      <w:r>
        <w:rPr>
          <w:rFonts w:hint="eastAsia" w:ascii="仿宋" w:hAnsi="仿宋" w:eastAsia="仿宋"/>
          <w:spacing w:val="0"/>
          <w:sz w:val="32"/>
          <w:szCs w:val="32"/>
        </w:rPr>
        <w:t>元，完成年初预算的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pacing w:val="0"/>
          <w:sz w:val="32"/>
          <w:szCs w:val="32"/>
        </w:rPr>
        <w:t>%。</w:t>
      </w:r>
      <w:bookmarkStart w:id="0" w:name="OLE_LINK2"/>
      <w:r>
        <w:rPr>
          <w:rFonts w:hint="eastAsia" w:ascii="仿宋" w:hAnsi="仿宋" w:eastAsia="仿宋"/>
          <w:spacing w:val="0"/>
          <w:sz w:val="32"/>
          <w:szCs w:val="32"/>
        </w:rPr>
        <w:t>决算数（小）于预算数的</w:t>
      </w:r>
      <w:bookmarkEnd w:id="0"/>
      <w:r>
        <w:rPr>
          <w:rFonts w:hint="eastAsia" w:ascii="仿宋" w:hAnsi="仿宋" w:eastAsia="仿宋"/>
          <w:spacing w:val="0"/>
          <w:sz w:val="32"/>
          <w:szCs w:val="32"/>
        </w:rPr>
        <w:t>主要原因是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/>
          <w:spacing w:val="0"/>
          <w:sz w:val="32"/>
          <w:szCs w:val="32"/>
        </w:rPr>
        <w:t>。</w:t>
      </w:r>
    </w:p>
    <w:p w14:paraId="25FE12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社会保障和就业支出年初预算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数311.47万元</w:t>
      </w:r>
      <w:r>
        <w:rPr>
          <w:rFonts w:hint="eastAsia" w:ascii="仿宋" w:hAnsi="仿宋" w:eastAsia="仿宋"/>
          <w:spacing w:val="0"/>
          <w:sz w:val="32"/>
          <w:szCs w:val="32"/>
        </w:rPr>
        <w:t>，支出决算为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311.47万</w:t>
      </w:r>
      <w:r>
        <w:rPr>
          <w:rFonts w:hint="eastAsia" w:ascii="仿宋" w:hAnsi="仿宋" w:eastAsia="仿宋"/>
          <w:spacing w:val="0"/>
          <w:sz w:val="32"/>
          <w:szCs w:val="32"/>
        </w:rPr>
        <w:t>元，决算数（小）于预算数的主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要原因无</w:t>
      </w:r>
    </w:p>
    <w:p w14:paraId="4B9C6B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卫生健康支出年初预算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数104.24万元</w:t>
      </w:r>
      <w:r>
        <w:rPr>
          <w:rFonts w:hint="eastAsia" w:ascii="仿宋" w:hAnsi="仿宋" w:eastAsia="仿宋"/>
          <w:spacing w:val="0"/>
          <w:sz w:val="32"/>
          <w:szCs w:val="32"/>
        </w:rPr>
        <w:t>，支出决算为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104.23万</w:t>
      </w:r>
      <w:r>
        <w:rPr>
          <w:rFonts w:hint="eastAsia" w:ascii="仿宋" w:hAnsi="仿宋" w:eastAsia="仿宋"/>
          <w:spacing w:val="0"/>
          <w:sz w:val="32"/>
          <w:szCs w:val="32"/>
        </w:rPr>
        <w:t>元，决算数（小）于预算数的主要原因是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人员减少。</w:t>
      </w:r>
    </w:p>
    <w:p w14:paraId="2DE17D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hint="default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节能环保支护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年初</w:t>
      </w:r>
      <w:r>
        <w:rPr>
          <w:rFonts w:hint="eastAsia" w:ascii="仿宋" w:hAnsi="仿宋" w:eastAsia="仿宋"/>
          <w:spacing w:val="0"/>
          <w:sz w:val="32"/>
          <w:szCs w:val="32"/>
        </w:rPr>
        <w:t>预算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数281.4万元</w:t>
      </w:r>
      <w:r>
        <w:rPr>
          <w:rFonts w:hint="eastAsia" w:ascii="仿宋" w:hAnsi="仿宋" w:eastAsia="仿宋"/>
          <w:spacing w:val="0"/>
          <w:sz w:val="32"/>
          <w:szCs w:val="32"/>
        </w:rPr>
        <w:t>，支出决算为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281.39万</w:t>
      </w:r>
      <w:r>
        <w:rPr>
          <w:rFonts w:hint="eastAsia" w:ascii="仿宋" w:hAnsi="仿宋" w:eastAsia="仿宋"/>
          <w:spacing w:val="0"/>
          <w:sz w:val="32"/>
          <w:szCs w:val="32"/>
        </w:rPr>
        <w:t>元，决算数（小）于预算数的主要原因是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人员减少</w:t>
      </w:r>
    </w:p>
    <w:p w14:paraId="637501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城乡社区支出年初财政拨款预算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数300.97万元。</w:t>
      </w:r>
      <w:r>
        <w:rPr>
          <w:rFonts w:hint="eastAsia" w:ascii="仿宋" w:hAnsi="仿宋" w:eastAsia="仿宋"/>
          <w:spacing w:val="0"/>
          <w:sz w:val="32"/>
          <w:szCs w:val="32"/>
        </w:rPr>
        <w:t>，支出决算为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300.97</w:t>
      </w:r>
      <w:r>
        <w:rPr>
          <w:rFonts w:hint="eastAsia" w:ascii="仿宋" w:hAnsi="仿宋" w:eastAsia="仿宋"/>
          <w:spacing w:val="0"/>
          <w:sz w:val="32"/>
          <w:szCs w:val="32"/>
        </w:rPr>
        <w:t>元，决算数（小）于预算数的主要原因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无</w:t>
      </w:r>
    </w:p>
    <w:p w14:paraId="535C0B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农林水支出年初财政拨款预算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数470.52万元</w:t>
      </w:r>
      <w:r>
        <w:rPr>
          <w:rFonts w:hint="eastAsia" w:ascii="仿宋" w:hAnsi="仿宋" w:eastAsia="仿宋"/>
          <w:spacing w:val="0"/>
          <w:sz w:val="32"/>
          <w:szCs w:val="32"/>
        </w:rPr>
        <w:t>，支出决算为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470.52万</w:t>
      </w:r>
      <w:r>
        <w:rPr>
          <w:rFonts w:hint="eastAsia" w:ascii="仿宋" w:hAnsi="仿宋" w:eastAsia="仿宋"/>
          <w:spacing w:val="0"/>
          <w:sz w:val="32"/>
          <w:szCs w:val="32"/>
        </w:rPr>
        <w:t>元，决算数（小）于预算数的主要原因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无。</w:t>
      </w:r>
    </w:p>
    <w:p w14:paraId="04A2D0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hint="default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住房保障支出年初财政拨款预算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数91.2万元</w:t>
      </w:r>
      <w:r>
        <w:rPr>
          <w:rFonts w:hint="eastAsia" w:ascii="仿宋" w:hAnsi="仿宋" w:eastAsia="仿宋"/>
          <w:spacing w:val="0"/>
          <w:sz w:val="32"/>
          <w:szCs w:val="32"/>
        </w:rPr>
        <w:t>，支出决算为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91.19万</w:t>
      </w:r>
      <w:r>
        <w:rPr>
          <w:rFonts w:hint="eastAsia" w:ascii="仿宋" w:hAnsi="仿宋" w:eastAsia="仿宋"/>
          <w:spacing w:val="0"/>
          <w:sz w:val="32"/>
          <w:szCs w:val="32"/>
        </w:rPr>
        <w:t>元，决算数（小）于预算数的主要原因是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人员减少。</w:t>
      </w:r>
    </w:p>
    <w:p w14:paraId="008DB0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灾害防治及应急管理支出年初财政拨款预算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数30万元元</w:t>
      </w:r>
      <w:r>
        <w:rPr>
          <w:rFonts w:hint="eastAsia" w:ascii="仿宋" w:hAnsi="仿宋" w:eastAsia="仿宋"/>
          <w:spacing w:val="0"/>
          <w:sz w:val="32"/>
          <w:szCs w:val="32"/>
        </w:rPr>
        <w:t>，支出决算为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30万</w:t>
      </w:r>
      <w:r>
        <w:rPr>
          <w:rFonts w:hint="eastAsia" w:ascii="仿宋" w:hAnsi="仿宋" w:eastAsia="仿宋"/>
          <w:spacing w:val="0"/>
          <w:sz w:val="32"/>
          <w:szCs w:val="32"/>
        </w:rPr>
        <w:t>元，决算数（小）于预算数的主要原因是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无</w:t>
      </w:r>
    </w:p>
    <w:p w14:paraId="2A5665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其他支出</w:t>
      </w:r>
      <w:r>
        <w:rPr>
          <w:rFonts w:hint="eastAsia" w:ascii="仿宋" w:hAnsi="仿宋" w:eastAsia="仿宋"/>
          <w:spacing w:val="0"/>
          <w:sz w:val="32"/>
          <w:szCs w:val="32"/>
        </w:rPr>
        <w:t>年初财政拨款预算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数52万元，支出决算数52万元。</w:t>
      </w:r>
      <w:r>
        <w:rPr>
          <w:rFonts w:hint="eastAsia" w:ascii="仿宋" w:hAnsi="仿宋" w:eastAsia="仿宋"/>
          <w:spacing w:val="0"/>
          <w:sz w:val="32"/>
          <w:szCs w:val="32"/>
        </w:rPr>
        <w:t>决算数（小）于预算数的主要原因是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无</w:t>
      </w:r>
    </w:p>
    <w:p w14:paraId="05A8A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六、一般公共预算财政拨款基本支出决算情况说明</w:t>
      </w:r>
    </w:p>
    <w:p w14:paraId="5C7B3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outlineLvl w:val="9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宋体" w:hAnsi="宋体" w:eastAsia="宋体" w:cs="宋体"/>
          <w:spacing w:val="0"/>
          <w:sz w:val="32"/>
          <w:szCs w:val="32"/>
        </w:rPr>
        <w:t>2023</w:t>
      </w:r>
      <w:r>
        <w:rPr>
          <w:rFonts w:ascii="仿宋" w:hAnsi="仿宋" w:eastAsia="仿宋" w:cs="仿宋"/>
          <w:spacing w:val="0"/>
          <w:sz w:val="32"/>
          <w:szCs w:val="32"/>
        </w:rPr>
        <w:t>年度一般公共预算财政拨款基本支出万元，其中：</w:t>
      </w:r>
    </w:p>
    <w:p w14:paraId="3A70F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3" w:firstLineChars="200"/>
        <w:jc w:val="both"/>
        <w:textAlignment w:val="baseline"/>
        <w:outlineLvl w:val="9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仿宋" w:hAnsi="仿宋" w:eastAsia="仿宋" w:cs="仿宋"/>
          <w:b/>
          <w:bCs/>
          <w:spacing w:val="0"/>
          <w:sz w:val="32"/>
          <w:szCs w:val="32"/>
        </w:rPr>
        <w:t>人员经费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1571.52</w:t>
      </w:r>
      <w:r>
        <w:rPr>
          <w:rFonts w:ascii="仿宋" w:hAnsi="仿宋" w:eastAsia="仿宋" w:cs="仿宋"/>
          <w:b/>
          <w:bCs/>
          <w:spacing w:val="0"/>
          <w:sz w:val="32"/>
          <w:szCs w:val="32"/>
        </w:rPr>
        <w:t>万元</w:t>
      </w:r>
      <w:r>
        <w:rPr>
          <w:rFonts w:ascii="仿宋" w:hAnsi="仿宋" w:eastAsia="仿宋" w:cs="仿宋"/>
          <w:spacing w:val="0"/>
          <w:sz w:val="32"/>
          <w:szCs w:val="32"/>
        </w:rPr>
        <w:t>，主要包括：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退休费、退职（役）费、抚恤金、生活补助、救济费、医疗费补助、助学金、奖励金、个人农业生产补贴、代缴社会保险费和其他对个人和家庭的补助。</w:t>
      </w:r>
    </w:p>
    <w:p w14:paraId="27700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3" w:firstLineChars="200"/>
        <w:jc w:val="both"/>
        <w:textAlignment w:val="baseline"/>
        <w:outlineLvl w:val="9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仿宋" w:hAnsi="仿宋" w:eastAsia="仿宋" w:cs="仿宋"/>
          <w:b/>
          <w:bCs/>
          <w:spacing w:val="0"/>
          <w:sz w:val="32"/>
          <w:szCs w:val="32"/>
        </w:rPr>
        <w:t>公用经费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487.47</w:t>
      </w:r>
      <w:r>
        <w:rPr>
          <w:rFonts w:ascii="仿宋" w:hAnsi="仿宋" w:eastAsia="仿宋" w:cs="仿宋"/>
          <w:b/>
          <w:bCs/>
          <w:spacing w:val="0"/>
          <w:sz w:val="32"/>
          <w:szCs w:val="32"/>
        </w:rPr>
        <w:t>万元</w:t>
      </w:r>
      <w:r>
        <w:rPr>
          <w:rFonts w:ascii="仿宋" w:hAnsi="仿宋" w:eastAsia="仿宋" w:cs="仿宋"/>
          <w:spacing w:val="0"/>
          <w:sz w:val="32"/>
          <w:szCs w:val="32"/>
        </w:rPr>
        <w:t>，主要包括：办公费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48.37万元</w:t>
      </w:r>
      <w:r>
        <w:rPr>
          <w:rFonts w:ascii="仿宋" w:hAnsi="仿宋" w:eastAsia="仿宋" w:cs="仿宋"/>
          <w:spacing w:val="0"/>
          <w:sz w:val="32"/>
          <w:szCs w:val="32"/>
        </w:rPr>
        <w:t>、印刷费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3.2万元</w:t>
      </w:r>
      <w:r>
        <w:rPr>
          <w:rFonts w:ascii="仿宋" w:hAnsi="仿宋" w:eastAsia="仿宋" w:cs="仿宋"/>
          <w:spacing w:val="0"/>
          <w:sz w:val="32"/>
          <w:szCs w:val="32"/>
        </w:rPr>
        <w:t>、咨询费、手续费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0.07万元</w:t>
      </w:r>
      <w:r>
        <w:rPr>
          <w:rFonts w:ascii="仿宋" w:hAnsi="仿宋" w:eastAsia="仿宋" w:cs="仿宋"/>
          <w:spacing w:val="0"/>
          <w:sz w:val="32"/>
          <w:szCs w:val="32"/>
        </w:rPr>
        <w:t>、水费、电费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9.36万元</w:t>
      </w:r>
      <w:r>
        <w:rPr>
          <w:rFonts w:ascii="仿宋" w:hAnsi="仿宋" w:eastAsia="仿宋" w:cs="仿宋"/>
          <w:spacing w:val="0"/>
          <w:sz w:val="32"/>
          <w:szCs w:val="32"/>
        </w:rPr>
        <w:t>、邮电费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0.44万元</w:t>
      </w:r>
      <w:r>
        <w:rPr>
          <w:rFonts w:ascii="仿宋" w:hAnsi="仿宋" w:eastAsia="仿宋" w:cs="仿宋"/>
          <w:spacing w:val="0"/>
          <w:sz w:val="32"/>
          <w:szCs w:val="32"/>
        </w:rPr>
        <w:t>、取暖费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7.93万元</w:t>
      </w:r>
      <w:r>
        <w:rPr>
          <w:rFonts w:ascii="仿宋" w:hAnsi="仿宋" w:eastAsia="仿宋" w:cs="仿宋"/>
          <w:spacing w:val="0"/>
          <w:sz w:val="32"/>
          <w:szCs w:val="32"/>
        </w:rPr>
        <w:t>、物业管理费、差旅费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6.59万元</w:t>
      </w:r>
      <w:r>
        <w:rPr>
          <w:rFonts w:ascii="仿宋" w:hAnsi="仿宋" w:eastAsia="仿宋" w:cs="仿宋"/>
          <w:spacing w:val="0"/>
          <w:sz w:val="32"/>
          <w:szCs w:val="32"/>
        </w:rPr>
        <w:t>、因公出国（境）费、维修（护）费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59.13万元</w:t>
      </w:r>
      <w:r>
        <w:rPr>
          <w:rFonts w:ascii="仿宋" w:hAnsi="仿宋" w:eastAsia="仿宋" w:cs="仿宋"/>
          <w:spacing w:val="0"/>
          <w:sz w:val="32"/>
          <w:szCs w:val="32"/>
        </w:rPr>
        <w:t>、租赁费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102.88万元</w:t>
      </w:r>
      <w:r>
        <w:rPr>
          <w:rFonts w:ascii="仿宋" w:hAnsi="仿宋" w:eastAsia="仿宋" w:cs="仿宋"/>
          <w:spacing w:val="0"/>
          <w:sz w:val="32"/>
          <w:szCs w:val="32"/>
        </w:rPr>
        <w:t>、会议费、培训费、公务接待费、专用材料费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38.16万元</w:t>
      </w:r>
      <w:r>
        <w:rPr>
          <w:rFonts w:ascii="仿宋" w:hAnsi="仿宋" w:eastAsia="仿宋" w:cs="仿宋"/>
          <w:spacing w:val="0"/>
          <w:sz w:val="32"/>
          <w:szCs w:val="32"/>
        </w:rPr>
        <w:t>、专用燃料费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2万元</w:t>
      </w:r>
      <w:r>
        <w:rPr>
          <w:rFonts w:ascii="仿宋" w:hAnsi="仿宋" w:eastAsia="仿宋" w:cs="仿宋"/>
          <w:spacing w:val="0"/>
          <w:sz w:val="32"/>
          <w:szCs w:val="32"/>
        </w:rPr>
        <w:t>、劳务费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134.18万元</w:t>
      </w:r>
      <w:r>
        <w:rPr>
          <w:rFonts w:ascii="仿宋" w:hAnsi="仿宋" w:eastAsia="仿宋" w:cs="仿宋"/>
          <w:spacing w:val="0"/>
          <w:sz w:val="32"/>
          <w:szCs w:val="32"/>
        </w:rPr>
        <w:t>、委托业务费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6.75万元</w:t>
      </w:r>
      <w:r>
        <w:rPr>
          <w:rFonts w:ascii="仿宋" w:hAnsi="仿宋" w:eastAsia="仿宋" w:cs="仿宋"/>
          <w:spacing w:val="0"/>
          <w:sz w:val="32"/>
          <w:szCs w:val="32"/>
        </w:rPr>
        <w:t>、公务用车运行维护费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4.26万元</w:t>
      </w:r>
      <w:r>
        <w:rPr>
          <w:rFonts w:ascii="仿宋" w:hAnsi="仿宋" w:eastAsia="仿宋" w:cs="仿宋"/>
          <w:spacing w:val="0"/>
          <w:sz w:val="32"/>
          <w:szCs w:val="32"/>
        </w:rPr>
        <w:t>、其他交通费用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18.05万元</w:t>
      </w:r>
      <w:r>
        <w:rPr>
          <w:rFonts w:ascii="仿宋" w:hAnsi="仿宋" w:eastAsia="仿宋" w:cs="仿宋"/>
          <w:spacing w:val="0"/>
          <w:sz w:val="32"/>
          <w:szCs w:val="32"/>
        </w:rPr>
        <w:t>、其他商品和服务支出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46.1万元。</w:t>
      </w:r>
    </w:p>
    <w:p w14:paraId="171F1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outlineLvl w:val="9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七、政府性基金预算财政拨款收入支出决算情况说明</w:t>
      </w:r>
    </w:p>
    <w:p w14:paraId="0768A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outlineLvl w:val="9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宋体" w:hAnsi="宋体" w:eastAsia="宋体" w:cs="宋体"/>
          <w:spacing w:val="0"/>
          <w:sz w:val="32"/>
          <w:szCs w:val="32"/>
        </w:rPr>
        <w:t>2023</w:t>
      </w:r>
      <w:r>
        <w:rPr>
          <w:rFonts w:ascii="仿宋" w:hAnsi="仿宋" w:eastAsia="仿宋" w:cs="仿宋"/>
          <w:spacing w:val="0"/>
          <w:sz w:val="32"/>
          <w:szCs w:val="32"/>
        </w:rPr>
        <w:t>年度政府性基金预算财政拨款年初结转和结余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32"/>
          <w:szCs w:val="32"/>
        </w:rPr>
        <w:t>万元；本年收入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163.77</w:t>
      </w:r>
      <w:r>
        <w:rPr>
          <w:rFonts w:ascii="仿宋" w:hAnsi="仿宋" w:eastAsia="仿宋" w:cs="仿宋"/>
          <w:spacing w:val="0"/>
          <w:sz w:val="32"/>
          <w:szCs w:val="32"/>
        </w:rPr>
        <w:t>万元，比上年减少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73.73</w:t>
      </w:r>
      <w:r>
        <w:rPr>
          <w:rFonts w:ascii="仿宋" w:hAnsi="仿宋" w:eastAsia="仿宋" w:cs="仿宋"/>
          <w:spacing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69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ascii="仿宋" w:hAnsi="仿宋" w:eastAsia="仿宋" w:cs="仿宋"/>
          <w:spacing w:val="0"/>
          <w:sz w:val="32"/>
          <w:szCs w:val="32"/>
        </w:rPr>
        <w:t>，主要是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项目减少</w:t>
      </w:r>
      <w:r>
        <w:rPr>
          <w:rFonts w:ascii="仿宋" w:hAnsi="仿宋" w:eastAsia="仿宋" w:cs="仿宋"/>
          <w:spacing w:val="0"/>
          <w:sz w:val="32"/>
          <w:szCs w:val="32"/>
        </w:rPr>
        <w:t>；本年支出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163.77</w:t>
      </w:r>
      <w:r>
        <w:rPr>
          <w:rFonts w:ascii="仿宋" w:hAnsi="仿宋" w:eastAsia="仿宋" w:cs="仿宋"/>
          <w:spacing w:val="0"/>
          <w:sz w:val="32"/>
          <w:szCs w:val="32"/>
        </w:rPr>
        <w:t>万元，比上年减少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73.73</w:t>
      </w:r>
      <w:r>
        <w:rPr>
          <w:rFonts w:ascii="仿宋" w:hAnsi="仿宋" w:eastAsia="仿宋" w:cs="仿宋"/>
          <w:spacing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69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ascii="仿宋" w:hAnsi="仿宋" w:eastAsia="仿宋" w:cs="仿宋"/>
          <w:spacing w:val="0"/>
          <w:sz w:val="32"/>
          <w:szCs w:val="32"/>
        </w:rPr>
        <w:t>，主要是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项目减少</w:t>
      </w:r>
      <w:r>
        <w:rPr>
          <w:rFonts w:ascii="仿宋" w:hAnsi="仿宋" w:eastAsia="仿宋" w:cs="仿宋"/>
          <w:spacing w:val="0"/>
          <w:sz w:val="32"/>
          <w:szCs w:val="32"/>
        </w:rPr>
        <w:t>；年末结转和结余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32"/>
          <w:szCs w:val="32"/>
        </w:rPr>
        <w:t>万元。支出具体情况如下：</w:t>
      </w:r>
    </w:p>
    <w:p w14:paraId="7280D5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城乡社区支出</w:t>
      </w:r>
      <w:r>
        <w:rPr>
          <w:rFonts w:hint="eastAsia" w:ascii="仿宋" w:hAnsi="仿宋" w:eastAsia="仿宋"/>
          <w:spacing w:val="0"/>
          <w:sz w:val="32"/>
          <w:szCs w:val="32"/>
        </w:rPr>
        <w:t>（类）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国有土地使用权出让收入安排的支出</w:t>
      </w:r>
      <w:r>
        <w:rPr>
          <w:rFonts w:hint="eastAsia" w:ascii="仿宋" w:hAnsi="仿宋" w:eastAsia="仿宋"/>
          <w:spacing w:val="0"/>
          <w:sz w:val="32"/>
          <w:szCs w:val="32"/>
        </w:rPr>
        <w:t>（款）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农村基础设施建设支出</w:t>
      </w:r>
      <w:r>
        <w:rPr>
          <w:rFonts w:hint="eastAsia" w:ascii="仿宋" w:hAnsi="仿宋" w:eastAsia="仿宋"/>
          <w:spacing w:val="0"/>
          <w:sz w:val="32"/>
          <w:szCs w:val="32"/>
        </w:rPr>
        <w:t>（项）</w:t>
      </w:r>
      <w:r>
        <w:rPr>
          <w:rFonts w:ascii="仿宋" w:hAnsi="仿宋" w:eastAsia="仿宋" w:cs="仿宋"/>
          <w:spacing w:val="0"/>
          <w:sz w:val="32"/>
          <w:szCs w:val="32"/>
        </w:rPr>
        <w:t>。政府性基金财政拨款支出为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111.77</w:t>
      </w:r>
      <w:r>
        <w:rPr>
          <w:rFonts w:ascii="仿宋" w:hAnsi="仿宋" w:eastAsia="仿宋" w:cs="仿宋"/>
          <w:spacing w:val="0"/>
          <w:sz w:val="32"/>
          <w:szCs w:val="32"/>
        </w:rPr>
        <w:t>万元，主要用于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项目建设</w:t>
      </w:r>
      <w:r>
        <w:rPr>
          <w:rFonts w:ascii="仿宋" w:hAnsi="仿宋" w:eastAsia="仿宋" w:cs="仿宋"/>
          <w:spacing w:val="0"/>
          <w:sz w:val="32"/>
          <w:szCs w:val="32"/>
        </w:rPr>
        <w:t>。</w:t>
      </w:r>
      <w:r>
        <w:rPr>
          <w:rFonts w:hint="eastAsia" w:ascii="仿宋" w:hAnsi="仿宋" w:eastAsia="仿宋"/>
          <w:spacing w:val="0"/>
          <w:sz w:val="32"/>
          <w:szCs w:val="32"/>
        </w:rPr>
        <w:t>年初预算为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111.77</w:t>
      </w:r>
      <w:r>
        <w:rPr>
          <w:rFonts w:hint="eastAsia" w:ascii="仿宋" w:hAnsi="仿宋" w:eastAsia="仿宋"/>
          <w:spacing w:val="0"/>
          <w:sz w:val="32"/>
          <w:szCs w:val="32"/>
        </w:rPr>
        <w:t>万元，支出决算为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111.77</w:t>
      </w:r>
      <w:r>
        <w:rPr>
          <w:rFonts w:hint="eastAsia" w:ascii="仿宋" w:hAnsi="仿宋" w:eastAsia="仿宋"/>
          <w:spacing w:val="0"/>
          <w:sz w:val="32"/>
          <w:szCs w:val="32"/>
        </w:rPr>
        <w:t>万元，完成年初预算的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pacing w:val="0"/>
          <w:sz w:val="32"/>
          <w:szCs w:val="32"/>
        </w:rPr>
        <w:t>%。</w:t>
      </w:r>
    </w:p>
    <w:p w14:paraId="00331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宋体" w:cs="仿宋"/>
          <w:spacing w:val="0"/>
          <w:sz w:val="32"/>
          <w:szCs w:val="32"/>
          <w:lang w:eastAsia="zh-CN"/>
        </w:rPr>
      </w:pPr>
      <w:r>
        <w:rPr>
          <w:rFonts w:ascii="宋体" w:hAnsi="宋体" w:eastAsia="宋体" w:cs="宋体"/>
          <w:spacing w:val="0"/>
          <w:sz w:val="32"/>
          <w:szCs w:val="32"/>
        </w:rPr>
        <w:t>2.</w:t>
      </w:r>
      <w:r>
        <w:rPr>
          <w:rFonts w:hint="eastAsia" w:ascii="宋体" w:hAnsi="宋体" w:eastAsia="宋体" w:cs="宋体"/>
          <w:spacing w:val="0"/>
          <w:sz w:val="32"/>
          <w:szCs w:val="32"/>
          <w:lang w:val="en-US" w:eastAsia="zh-CN"/>
        </w:rPr>
        <w:t>其他支出</w:t>
      </w:r>
      <w:r>
        <w:rPr>
          <w:rFonts w:ascii="仿宋" w:hAnsi="仿宋" w:eastAsia="仿宋" w:cs="仿宋"/>
          <w:spacing w:val="0"/>
          <w:sz w:val="32"/>
          <w:szCs w:val="32"/>
        </w:rPr>
        <w:t>（类）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彩票公益金安排的支出</w:t>
      </w:r>
      <w:r>
        <w:rPr>
          <w:rFonts w:ascii="仿宋" w:hAnsi="仿宋" w:eastAsia="仿宋" w:cs="仿宋"/>
          <w:spacing w:val="0"/>
          <w:sz w:val="32"/>
          <w:szCs w:val="32"/>
        </w:rPr>
        <w:t>（款）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用于体育公益金安排的支出</w:t>
      </w:r>
      <w:r>
        <w:rPr>
          <w:rFonts w:ascii="仿宋" w:hAnsi="仿宋" w:eastAsia="仿宋" w:cs="仿宋"/>
          <w:spacing w:val="0"/>
          <w:sz w:val="32"/>
          <w:szCs w:val="32"/>
        </w:rPr>
        <w:t>（项）。政府性基金财政拨款支出为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52</w:t>
      </w:r>
      <w:r>
        <w:rPr>
          <w:rFonts w:ascii="仿宋" w:hAnsi="仿宋" w:eastAsia="仿宋" w:cs="仿宋"/>
          <w:spacing w:val="0"/>
          <w:sz w:val="32"/>
          <w:szCs w:val="32"/>
        </w:rPr>
        <w:t>万元，主要用于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项目建设</w:t>
      </w:r>
      <w:r>
        <w:rPr>
          <w:rFonts w:ascii="仿宋" w:hAnsi="仿宋" w:eastAsia="仿宋" w:cs="仿宋"/>
          <w:spacing w:val="0"/>
          <w:sz w:val="32"/>
          <w:szCs w:val="32"/>
        </w:rPr>
        <w:t>。完成年初预算的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100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hint="eastAsia" w:ascii="宋体" w:hAnsi="宋体" w:eastAsia="宋体" w:cs="宋体"/>
          <w:spacing w:val="0"/>
          <w:sz w:val="32"/>
          <w:szCs w:val="32"/>
          <w:lang w:eastAsia="zh-CN"/>
        </w:rPr>
        <w:t>。</w:t>
      </w:r>
    </w:p>
    <w:p w14:paraId="415FC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outlineLvl w:val="9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八、国有资本经营预算财政拨款支出决算情况说明</w:t>
      </w:r>
    </w:p>
    <w:p w14:paraId="68087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本单位无国有资本经营预算财政拨款支出。</w:t>
      </w:r>
    </w:p>
    <w:p w14:paraId="306AA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3" w:firstLineChars="200"/>
        <w:jc w:val="both"/>
        <w:textAlignment w:val="baseline"/>
        <w:outlineLvl w:val="9"/>
        <w:rPr>
          <w:rFonts w:hint="eastAsia" w:ascii="仿宋" w:hAnsi="仿宋" w:eastAsia="仿宋"/>
          <w:b/>
          <w:bCs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pacing w:val="0"/>
          <w:sz w:val="32"/>
          <w:szCs w:val="32"/>
          <w:highlight w:val="none"/>
          <w:lang w:val="en-US" w:eastAsia="zh-CN"/>
        </w:rPr>
        <w:t>本单位本年度无国有资本经营预算财政拨款支出</w:t>
      </w:r>
    </w:p>
    <w:p w14:paraId="4273C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outlineLvl w:val="9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九、财政拨款“三公”经费支出决算情况说明</w:t>
      </w:r>
    </w:p>
    <w:p w14:paraId="3EEC1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outlineLvl w:val="9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仿宋" w:hAnsi="仿宋" w:eastAsia="仿宋" w:cs="仿宋"/>
          <w:spacing w:val="0"/>
          <w:sz w:val="32"/>
          <w:szCs w:val="32"/>
        </w:rPr>
        <w:t>（一）“三公”经费财政拨款支出决算总体情况说明</w:t>
      </w:r>
    </w:p>
    <w:p w14:paraId="539B8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outlineLvl w:val="9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宋体" w:hAnsi="宋体" w:eastAsia="宋体" w:cs="宋体"/>
          <w:spacing w:val="0"/>
          <w:sz w:val="32"/>
          <w:szCs w:val="32"/>
        </w:rPr>
        <w:t>2023</w:t>
      </w:r>
      <w:r>
        <w:rPr>
          <w:rFonts w:ascii="仿宋" w:hAnsi="仿宋" w:eastAsia="仿宋" w:cs="仿宋"/>
          <w:spacing w:val="0"/>
          <w:sz w:val="32"/>
          <w:szCs w:val="32"/>
        </w:rPr>
        <w:t>年度“三公”经费财政拨款支出预算为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4.28</w:t>
      </w:r>
      <w:r>
        <w:rPr>
          <w:rFonts w:ascii="仿宋" w:hAnsi="仿宋" w:eastAsia="仿宋" w:cs="仿宋"/>
          <w:spacing w:val="0"/>
          <w:sz w:val="32"/>
          <w:szCs w:val="32"/>
        </w:rPr>
        <w:t>万元，支出决算为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4.26</w:t>
      </w:r>
      <w:r>
        <w:rPr>
          <w:rFonts w:ascii="仿宋" w:hAnsi="仿宋" w:eastAsia="仿宋" w:cs="仿宋"/>
          <w:spacing w:val="0"/>
          <w:sz w:val="32"/>
          <w:szCs w:val="32"/>
        </w:rPr>
        <w:t>万元，完成预算的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99.76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ascii="仿宋" w:hAnsi="仿宋" w:eastAsia="仿宋" w:cs="仿宋"/>
          <w:spacing w:val="0"/>
          <w:sz w:val="32"/>
          <w:szCs w:val="32"/>
        </w:rPr>
        <w:t>；较</w:t>
      </w:r>
      <w:r>
        <w:rPr>
          <w:rFonts w:ascii="宋体" w:hAnsi="宋体" w:eastAsia="宋体" w:cs="宋体"/>
          <w:spacing w:val="0"/>
          <w:sz w:val="32"/>
          <w:szCs w:val="32"/>
        </w:rPr>
        <w:t>2022</w:t>
      </w:r>
      <w:r>
        <w:rPr>
          <w:rFonts w:ascii="仿宋" w:hAnsi="仿宋" w:eastAsia="仿宋" w:cs="仿宋"/>
          <w:spacing w:val="0"/>
          <w:sz w:val="32"/>
          <w:szCs w:val="32"/>
        </w:rPr>
        <w:t>年度减少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0.02</w:t>
      </w:r>
      <w:r>
        <w:rPr>
          <w:rFonts w:ascii="仿宋" w:hAnsi="仿宋" w:eastAsia="仿宋" w:cs="仿宋"/>
          <w:spacing w:val="0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0"/>
          <w:sz w:val="32"/>
          <w:szCs w:val="32"/>
        </w:rPr>
        <w:t>下降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0.46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ascii="仿宋" w:hAnsi="仿宋" w:eastAsia="仿宋" w:cs="仿宋"/>
          <w:spacing w:val="0"/>
          <w:sz w:val="32"/>
          <w:szCs w:val="32"/>
        </w:rPr>
        <w:t>，决算数小于预算数的主要原因</w:t>
      </w:r>
      <w:r>
        <w:rPr>
          <w:rFonts w:hint="eastAsia" w:ascii="仿宋" w:hAnsi="仿宋" w:eastAsia="仿宋"/>
          <w:spacing w:val="0"/>
          <w:sz w:val="32"/>
          <w:szCs w:val="32"/>
          <w:highlight w:val="none"/>
        </w:rPr>
        <w:t>是</w:t>
      </w:r>
      <w:r>
        <w:rPr>
          <w:rFonts w:hint="eastAsia" w:ascii="仿宋" w:hAnsi="仿宋" w:eastAsia="仿宋"/>
          <w:spacing w:val="0"/>
          <w:sz w:val="32"/>
          <w:szCs w:val="32"/>
          <w:highlight w:val="none"/>
          <w:lang w:eastAsia="zh-CN"/>
        </w:rPr>
        <w:t>一般性支出压减</w:t>
      </w:r>
      <w:r>
        <w:rPr>
          <w:rFonts w:ascii="仿宋" w:hAnsi="仿宋" w:eastAsia="仿宋" w:cs="仿宋"/>
          <w:spacing w:val="0"/>
          <w:sz w:val="32"/>
          <w:szCs w:val="32"/>
        </w:rPr>
        <w:t>。</w:t>
      </w:r>
    </w:p>
    <w:p w14:paraId="29577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outlineLvl w:val="9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仿宋" w:hAnsi="仿宋" w:eastAsia="仿宋" w:cs="仿宋"/>
          <w:spacing w:val="0"/>
          <w:sz w:val="32"/>
          <w:szCs w:val="32"/>
        </w:rPr>
        <w:t>（二）“三公”经费财政拨款支出决算具体情况说明</w:t>
      </w:r>
    </w:p>
    <w:p w14:paraId="49916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宋体" w:cs="仿宋"/>
          <w:spacing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pacing w:val="0"/>
          <w:sz w:val="32"/>
          <w:szCs w:val="32"/>
        </w:rPr>
        <w:t>1.</w:t>
      </w:r>
      <w:r>
        <w:rPr>
          <w:rFonts w:ascii="仿宋" w:hAnsi="仿宋" w:eastAsia="仿宋" w:cs="仿宋"/>
          <w:spacing w:val="0"/>
          <w:sz w:val="32"/>
          <w:szCs w:val="32"/>
        </w:rPr>
        <w:t>因公出国（境）费预算为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32"/>
          <w:szCs w:val="32"/>
        </w:rPr>
        <w:t>万元</w:t>
      </w:r>
      <w:r>
        <w:rPr>
          <w:rFonts w:ascii="宋体" w:hAnsi="宋体" w:eastAsia="宋体" w:cs="宋体"/>
          <w:spacing w:val="0"/>
          <w:sz w:val="32"/>
          <w:szCs w:val="32"/>
        </w:rPr>
        <w:t>,</w:t>
      </w:r>
      <w:r>
        <w:rPr>
          <w:rFonts w:ascii="仿宋" w:hAnsi="仿宋" w:eastAsia="仿宋" w:cs="仿宋"/>
          <w:spacing w:val="0"/>
          <w:sz w:val="32"/>
          <w:szCs w:val="32"/>
        </w:rPr>
        <w:t>支出决算为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32"/>
          <w:szCs w:val="32"/>
        </w:rPr>
        <w:t>万元，完成预算的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ascii="仿宋" w:hAnsi="仿宋" w:eastAsia="仿宋" w:cs="仿宋"/>
          <w:spacing w:val="0"/>
          <w:sz w:val="32"/>
          <w:szCs w:val="32"/>
        </w:rPr>
        <w:t>；支出决算较</w:t>
      </w:r>
      <w:r>
        <w:rPr>
          <w:rFonts w:ascii="宋体" w:hAnsi="宋体" w:eastAsia="宋体" w:cs="宋体"/>
          <w:spacing w:val="0"/>
          <w:sz w:val="32"/>
          <w:szCs w:val="32"/>
        </w:rPr>
        <w:t>2022</w:t>
      </w:r>
      <w:r>
        <w:rPr>
          <w:rFonts w:ascii="仿宋" w:hAnsi="仿宋" w:eastAsia="仿宋" w:cs="仿宋"/>
          <w:spacing w:val="0"/>
          <w:sz w:val="32"/>
          <w:szCs w:val="32"/>
        </w:rPr>
        <w:t>年度增加（减少）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32"/>
          <w:szCs w:val="32"/>
        </w:rPr>
        <w:t>万元，增长（下降）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hint="eastAsia" w:ascii="宋体" w:hAnsi="宋体" w:eastAsia="宋体" w:cs="宋体"/>
          <w:spacing w:val="0"/>
          <w:sz w:val="32"/>
          <w:szCs w:val="32"/>
          <w:lang w:eastAsia="zh-CN"/>
        </w:rPr>
        <w:t>。</w:t>
      </w:r>
    </w:p>
    <w:p w14:paraId="090B0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outlineLvl w:val="9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宋体" w:hAnsi="宋体" w:eastAsia="宋体" w:cs="宋体"/>
          <w:spacing w:val="0"/>
          <w:sz w:val="32"/>
          <w:szCs w:val="32"/>
        </w:rPr>
        <w:t>2.</w:t>
      </w:r>
      <w:r>
        <w:rPr>
          <w:rFonts w:ascii="仿宋" w:hAnsi="仿宋" w:eastAsia="仿宋" w:cs="仿宋"/>
          <w:spacing w:val="0"/>
          <w:sz w:val="32"/>
          <w:szCs w:val="32"/>
        </w:rPr>
        <w:t>公务用车购置及运行费预算为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4.28</w:t>
      </w:r>
      <w:r>
        <w:rPr>
          <w:rFonts w:ascii="仿宋" w:hAnsi="仿宋" w:eastAsia="仿宋" w:cs="仿宋"/>
          <w:spacing w:val="0"/>
          <w:sz w:val="32"/>
          <w:szCs w:val="32"/>
        </w:rPr>
        <w:t>万元，支出决算为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4.26</w:t>
      </w:r>
      <w:r>
        <w:rPr>
          <w:rFonts w:ascii="仿宋" w:hAnsi="仿宋" w:eastAsia="仿宋" w:cs="仿宋"/>
          <w:spacing w:val="0"/>
          <w:sz w:val="32"/>
          <w:szCs w:val="32"/>
        </w:rPr>
        <w:t>万元，完成预算的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99.5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ascii="仿宋" w:hAnsi="仿宋" w:eastAsia="仿宋" w:cs="仿宋"/>
          <w:spacing w:val="0"/>
          <w:sz w:val="32"/>
          <w:szCs w:val="32"/>
        </w:rPr>
        <w:t>；较</w:t>
      </w:r>
      <w:r>
        <w:rPr>
          <w:rFonts w:ascii="宋体" w:hAnsi="宋体" w:eastAsia="宋体" w:cs="宋体"/>
          <w:spacing w:val="0"/>
          <w:sz w:val="32"/>
          <w:szCs w:val="32"/>
        </w:rPr>
        <w:t>2022</w:t>
      </w:r>
      <w:r>
        <w:rPr>
          <w:rFonts w:ascii="仿宋" w:hAnsi="仿宋" w:eastAsia="仿宋" w:cs="仿宋"/>
          <w:spacing w:val="0"/>
          <w:sz w:val="32"/>
          <w:szCs w:val="32"/>
        </w:rPr>
        <w:t>年度减少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0.2</w:t>
      </w:r>
      <w:r>
        <w:rPr>
          <w:rFonts w:ascii="仿宋" w:hAnsi="仿宋" w:eastAsia="仿宋" w:cs="仿宋"/>
          <w:spacing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pacing w:val="0"/>
          <w:sz w:val="32"/>
          <w:szCs w:val="32"/>
        </w:rPr>
        <w:t>%</w:t>
      </w:r>
      <w:r>
        <w:rPr>
          <w:rFonts w:ascii="仿宋" w:hAnsi="仿宋" w:eastAsia="仿宋" w:cs="仿宋"/>
          <w:spacing w:val="0"/>
          <w:sz w:val="32"/>
          <w:szCs w:val="32"/>
        </w:rPr>
        <w:t>，主要原因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调整</w:t>
      </w:r>
      <w:r>
        <w:rPr>
          <w:rFonts w:ascii="仿宋" w:hAnsi="仿宋" w:eastAsia="仿宋" w:cs="仿宋"/>
          <w:spacing w:val="0"/>
          <w:sz w:val="32"/>
          <w:szCs w:val="32"/>
        </w:rPr>
        <w:t>。决算数小于预算数的主要原因</w:t>
      </w:r>
      <w:r>
        <w:rPr>
          <w:rFonts w:hint="eastAsia" w:ascii="仿宋" w:hAnsi="仿宋" w:eastAsia="仿宋"/>
          <w:spacing w:val="0"/>
          <w:sz w:val="32"/>
          <w:szCs w:val="32"/>
          <w:highlight w:val="none"/>
        </w:rPr>
        <w:t>是</w:t>
      </w:r>
      <w:r>
        <w:rPr>
          <w:rFonts w:hint="eastAsia" w:ascii="仿宋" w:hAnsi="仿宋" w:eastAsia="仿宋"/>
          <w:spacing w:val="0"/>
          <w:sz w:val="32"/>
          <w:szCs w:val="32"/>
          <w:highlight w:val="none"/>
          <w:lang w:eastAsia="zh-CN"/>
        </w:rPr>
        <w:t>一般性支出压减</w:t>
      </w:r>
      <w:r>
        <w:rPr>
          <w:rFonts w:ascii="仿宋" w:hAnsi="仿宋" w:eastAsia="仿宋" w:cs="仿宋"/>
          <w:spacing w:val="0"/>
          <w:sz w:val="32"/>
          <w:szCs w:val="32"/>
        </w:rPr>
        <w:t>。</w:t>
      </w:r>
    </w:p>
    <w:p w14:paraId="585A2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outlineLvl w:val="9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仿宋" w:hAnsi="仿宋" w:eastAsia="仿宋" w:cs="仿宋"/>
          <w:spacing w:val="0"/>
          <w:sz w:val="32"/>
          <w:szCs w:val="32"/>
        </w:rPr>
        <w:t>公务用车购置费支出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32"/>
          <w:szCs w:val="32"/>
        </w:rPr>
        <w:t>万元。截至</w:t>
      </w:r>
      <w:r>
        <w:rPr>
          <w:rFonts w:ascii="宋体" w:hAnsi="宋体" w:eastAsia="宋体" w:cs="宋体"/>
          <w:spacing w:val="0"/>
          <w:sz w:val="32"/>
          <w:szCs w:val="32"/>
        </w:rPr>
        <w:t>2023</w:t>
      </w:r>
      <w:r>
        <w:rPr>
          <w:rFonts w:ascii="仿宋" w:hAnsi="仿宋" w:eastAsia="仿宋" w:cs="仿宋"/>
          <w:spacing w:val="0"/>
          <w:sz w:val="32"/>
          <w:szCs w:val="32"/>
        </w:rPr>
        <w:t>年</w:t>
      </w:r>
      <w:r>
        <w:rPr>
          <w:rFonts w:ascii="宋体" w:hAnsi="宋体" w:eastAsia="宋体" w:cs="宋体"/>
          <w:spacing w:val="0"/>
          <w:sz w:val="32"/>
          <w:szCs w:val="32"/>
        </w:rPr>
        <w:t>12</w:t>
      </w:r>
      <w:r>
        <w:rPr>
          <w:rFonts w:ascii="仿宋" w:hAnsi="仿宋" w:eastAsia="仿宋" w:cs="仿宋"/>
          <w:spacing w:val="0"/>
          <w:sz w:val="32"/>
          <w:szCs w:val="32"/>
        </w:rPr>
        <w:t>月</w:t>
      </w:r>
      <w:r>
        <w:rPr>
          <w:rFonts w:ascii="宋体" w:hAnsi="宋体" w:eastAsia="宋体" w:cs="宋体"/>
          <w:spacing w:val="0"/>
          <w:sz w:val="32"/>
          <w:szCs w:val="32"/>
        </w:rPr>
        <w:t>31</w:t>
      </w:r>
      <w:r>
        <w:rPr>
          <w:rFonts w:ascii="仿宋" w:hAnsi="仿宋" w:eastAsia="仿宋" w:cs="仿宋"/>
          <w:spacing w:val="0"/>
          <w:sz w:val="32"/>
          <w:szCs w:val="32"/>
        </w:rPr>
        <w:t>日，公务用车保有量为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pacing w:val="0"/>
          <w:sz w:val="32"/>
          <w:szCs w:val="32"/>
        </w:rPr>
        <w:t>辆</w:t>
      </w:r>
      <w:r>
        <w:rPr>
          <w:rFonts w:ascii="宋体" w:hAnsi="宋体" w:eastAsia="宋体" w:cs="宋体"/>
          <w:spacing w:val="0"/>
          <w:sz w:val="32"/>
          <w:szCs w:val="32"/>
        </w:rPr>
        <w:t>,</w:t>
      </w:r>
      <w:r>
        <w:rPr>
          <w:rFonts w:ascii="仿宋" w:hAnsi="仿宋" w:eastAsia="仿宋" w:cs="仿宋"/>
          <w:spacing w:val="0"/>
          <w:sz w:val="32"/>
          <w:szCs w:val="32"/>
        </w:rPr>
        <w:t>公务用车购置数为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pacing w:val="0"/>
          <w:sz w:val="32"/>
          <w:szCs w:val="32"/>
        </w:rPr>
        <w:t>辆。公务用车运行维护费支出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4.26</w:t>
      </w:r>
      <w:r>
        <w:rPr>
          <w:rFonts w:ascii="仿宋" w:hAnsi="仿宋" w:eastAsia="仿宋" w:cs="仿宋"/>
          <w:spacing w:val="0"/>
          <w:sz w:val="32"/>
          <w:szCs w:val="32"/>
        </w:rPr>
        <w:t>万元，主要是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领导用车</w:t>
      </w:r>
      <w:r>
        <w:rPr>
          <w:rFonts w:ascii="仿宋" w:hAnsi="仿宋" w:eastAsia="仿宋" w:cs="仿宋"/>
          <w:spacing w:val="0"/>
          <w:sz w:val="32"/>
          <w:szCs w:val="32"/>
        </w:rPr>
        <w:t>。</w:t>
      </w:r>
    </w:p>
    <w:p w14:paraId="756EA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本单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位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无公务接待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外事接待、其他国内公务接待支出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和</w:t>
      </w:r>
    </w:p>
    <w:p w14:paraId="292FF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baseline"/>
        <w:outlineLvl w:val="9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十、关于2023年度绩效评价情况说明</w:t>
      </w:r>
    </w:p>
    <w:p w14:paraId="7E7F7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0"/>
          <w:sz w:val="32"/>
          <w:szCs w:val="32"/>
        </w:rPr>
        <w:t>（一）绩效评价工作开展情况。绩效评价工作开展情况说明为：根据预算绩效管理要求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。</w:t>
      </w:r>
    </w:p>
    <w:p w14:paraId="74D9F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spacing w:val="0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1、</w:t>
      </w:r>
      <w:r>
        <w:rPr>
          <w:rFonts w:ascii="仿宋" w:hAnsi="仿宋" w:eastAsia="仿宋"/>
          <w:spacing w:val="0"/>
          <w:sz w:val="32"/>
          <w:szCs w:val="32"/>
        </w:rPr>
        <w:t>组织对</w:t>
      </w:r>
      <w:r>
        <w:rPr>
          <w:rFonts w:hint="eastAsia" w:ascii="仿宋" w:hAnsi="仿宋" w:eastAsia="仿宋"/>
          <w:spacing w:val="0"/>
          <w:sz w:val="32"/>
          <w:szCs w:val="32"/>
        </w:rPr>
        <w:t>202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pacing w:val="0"/>
          <w:sz w:val="32"/>
          <w:szCs w:val="32"/>
        </w:rPr>
        <w:t>年度部门预算</w:t>
      </w:r>
      <w:r>
        <w:rPr>
          <w:rFonts w:ascii="仿宋" w:hAnsi="仿宋" w:eastAsia="仿宋"/>
          <w:spacing w:val="0"/>
          <w:sz w:val="32"/>
          <w:szCs w:val="32"/>
        </w:rPr>
        <w:t>项目等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pacing w:val="0"/>
          <w:sz w:val="32"/>
          <w:szCs w:val="32"/>
        </w:rPr>
        <w:t>个</w:t>
      </w:r>
      <w:r>
        <w:rPr>
          <w:rFonts w:hint="eastAsia" w:ascii="仿宋" w:hAnsi="仿宋" w:eastAsia="仿宋"/>
          <w:spacing w:val="0"/>
          <w:sz w:val="32"/>
          <w:szCs w:val="32"/>
        </w:rPr>
        <w:t>一级</w:t>
      </w:r>
      <w:r>
        <w:rPr>
          <w:rFonts w:ascii="仿宋" w:hAnsi="仿宋" w:eastAsia="仿宋"/>
          <w:spacing w:val="0"/>
          <w:sz w:val="32"/>
          <w:szCs w:val="32"/>
        </w:rPr>
        <w:t>项目进行了绩效自评，共涉及资金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34.5</w:t>
      </w:r>
      <w:r>
        <w:rPr>
          <w:rFonts w:ascii="仿宋" w:hAnsi="仿宋" w:eastAsia="仿宋"/>
          <w:spacing w:val="0"/>
          <w:sz w:val="32"/>
          <w:szCs w:val="32"/>
        </w:rPr>
        <w:t>万元，</w:t>
      </w:r>
      <w:r>
        <w:rPr>
          <w:rFonts w:hint="eastAsia" w:ascii="仿宋" w:hAnsi="仿宋" w:eastAsia="仿宋"/>
          <w:spacing w:val="0"/>
          <w:sz w:val="32"/>
          <w:szCs w:val="32"/>
        </w:rPr>
        <w:t>绩效自评率为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spacing w:val="0"/>
          <w:sz w:val="32"/>
          <w:szCs w:val="32"/>
        </w:rPr>
        <w:t>%</w:t>
      </w:r>
      <w:r>
        <w:rPr>
          <w:rFonts w:hint="eastAsia" w:ascii="仿宋" w:hAnsi="仿宋" w:eastAsia="仿宋"/>
          <w:spacing w:val="0"/>
          <w:sz w:val="32"/>
          <w:szCs w:val="32"/>
        </w:rPr>
        <w:t>；</w:t>
      </w:r>
    </w:p>
    <w:p w14:paraId="2563B304">
      <w:pPr>
        <w:spacing w:before="249" w:line="353" w:lineRule="auto"/>
        <w:ind w:right="3"/>
        <w:rPr>
          <w:rFonts w:hint="eastAsia" w:ascii="仿宋" w:hAnsi="仿宋" w:eastAsia="仿宋"/>
          <w:sz w:val="32"/>
          <w:szCs w:val="32"/>
        </w:rPr>
      </w:pPr>
    </w:p>
    <w:p w14:paraId="0A91674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353" w:lineRule="auto"/>
        <w:ind w:right="6" w:rightChars="0"/>
        <w:jc w:val="both"/>
        <w:textAlignment w:val="baseline"/>
        <w:rPr>
          <w:rFonts w:hint="eastAsia" w:ascii="仿宋" w:hAnsi="仿宋" w:eastAsia="仿宋"/>
          <w:sz w:val="28"/>
          <w:szCs w:val="28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9455785</wp:posOffset>
            </wp:positionH>
            <wp:positionV relativeFrom="paragraph">
              <wp:posOffset>448945</wp:posOffset>
            </wp:positionV>
            <wp:extent cx="5341620" cy="3985260"/>
            <wp:effectExtent l="0" t="0" r="11430" b="1524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t>组织</w:t>
      </w:r>
      <w:r>
        <w:rPr>
          <w:rFonts w:ascii="仿宋" w:hAnsi="仿宋" w:eastAsia="仿宋"/>
          <w:sz w:val="28"/>
          <w:szCs w:val="28"/>
        </w:rPr>
        <w:t>对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年度部门预算</w:t>
      </w:r>
      <w:r>
        <w:rPr>
          <w:rFonts w:ascii="仿宋" w:hAnsi="仿宋" w:eastAsia="仿宋"/>
          <w:sz w:val="28"/>
          <w:szCs w:val="28"/>
        </w:rPr>
        <w:t>项目等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个</w:t>
      </w:r>
      <w:r>
        <w:rPr>
          <w:rFonts w:hint="eastAsia" w:ascii="仿宋" w:hAnsi="仿宋" w:eastAsia="仿宋"/>
          <w:sz w:val="28"/>
          <w:szCs w:val="28"/>
        </w:rPr>
        <w:t>二级</w:t>
      </w:r>
      <w:r>
        <w:rPr>
          <w:rFonts w:ascii="仿宋" w:hAnsi="仿宋" w:eastAsia="仿宋"/>
          <w:sz w:val="28"/>
          <w:szCs w:val="28"/>
        </w:rPr>
        <w:t>项目进行了绩效自评，共涉及资金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34.5</w:t>
      </w:r>
      <w:r>
        <w:rPr>
          <w:rFonts w:ascii="仿宋" w:hAnsi="仿宋" w:eastAsia="仿宋"/>
          <w:sz w:val="28"/>
          <w:szCs w:val="28"/>
        </w:rPr>
        <w:t>万元，</w:t>
      </w:r>
      <w:r>
        <w:rPr>
          <w:rFonts w:hint="eastAsia" w:ascii="仿宋" w:hAnsi="仿宋" w:eastAsia="仿宋"/>
          <w:sz w:val="28"/>
          <w:szCs w:val="28"/>
        </w:rPr>
        <w:t>绩效自评率为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100</w:t>
      </w:r>
      <w:r>
        <w:rPr>
          <w:rFonts w:ascii="仿宋" w:hAnsi="仿宋" w:eastAsia="仿宋"/>
          <w:sz w:val="28"/>
          <w:szCs w:val="28"/>
        </w:rPr>
        <w:t>%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437A55B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353" w:lineRule="auto"/>
        <w:ind w:right="6" w:rightChars="0"/>
        <w:jc w:val="both"/>
        <w:textAlignment w:val="baseline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其中2023年参核人员公益性岗位工资</w:t>
      </w:r>
      <w:r>
        <w:rPr>
          <w:rFonts w:ascii="仿宋" w:hAnsi="仿宋" w:eastAsia="仿宋"/>
          <w:sz w:val="28"/>
          <w:szCs w:val="28"/>
        </w:rPr>
        <w:t>进行了绩效自评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共涉及资金23.1万元，绩效自评率为100%。</w:t>
      </w:r>
    </w:p>
    <w:p w14:paraId="4476F18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353" w:lineRule="auto"/>
        <w:ind w:right="6" w:rightChars="0"/>
        <w:jc w:val="both"/>
        <w:textAlignment w:val="baseline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其中2023年参核人员社保缴费</w:t>
      </w:r>
      <w:r>
        <w:rPr>
          <w:rFonts w:ascii="仿宋" w:hAnsi="仿宋" w:eastAsia="仿宋"/>
          <w:sz w:val="32"/>
          <w:szCs w:val="32"/>
        </w:rPr>
        <w:t>进行了绩效自评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共涉及资金8.1万元，绩效自评率为100%。</w:t>
      </w:r>
    </w:p>
    <w:p w14:paraId="215727F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353" w:lineRule="auto"/>
        <w:ind w:right="6" w:rightChars="0"/>
        <w:jc w:val="both"/>
        <w:textAlignment w:val="baseline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7173595</wp:posOffset>
            </wp:positionH>
            <wp:positionV relativeFrom="paragraph">
              <wp:posOffset>497205</wp:posOffset>
            </wp:positionV>
            <wp:extent cx="5334635" cy="3175000"/>
            <wp:effectExtent l="0" t="0" r="18415" b="635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其中2023年参核人员医保缴费</w:t>
      </w:r>
      <w:r>
        <w:rPr>
          <w:rFonts w:ascii="仿宋" w:hAnsi="仿宋" w:eastAsia="仿宋"/>
          <w:sz w:val="32"/>
          <w:szCs w:val="32"/>
        </w:rPr>
        <w:t>进行了绩效自评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共涉及资金3.3万元，绩效自评率100%。</w:t>
      </w:r>
    </w:p>
    <w:p w14:paraId="57F45BF6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" w:firstLineChars="200"/>
        <w:jc w:val="both"/>
        <w:textAlignment w:val="baseline"/>
        <w:rPr>
          <w:rFonts w:hint="eastAsia" w:ascii="宋体" w:hAnsi="宋体" w:eastAsia="仿宋" w:cs="宋体"/>
          <w:sz w:val="31"/>
          <w:szCs w:val="3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6966585</wp:posOffset>
            </wp:positionH>
            <wp:positionV relativeFrom="paragraph">
              <wp:posOffset>92710</wp:posOffset>
            </wp:positionV>
            <wp:extent cx="5628005" cy="3569970"/>
            <wp:effectExtent l="0" t="0" r="10795" b="11430"/>
            <wp:wrapNone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4"/>
          <w:sz w:val="31"/>
          <w:szCs w:val="31"/>
        </w:rPr>
        <w:t>（二）项目绩效自评结果（如有）。除涉密敏感内容外，</w:t>
      </w:r>
      <w:r>
        <w:rPr>
          <w:rFonts w:ascii="仿宋" w:hAnsi="仿宋" w:eastAsia="仿宋" w:cs="仿宋"/>
          <w:spacing w:val="8"/>
          <w:sz w:val="31"/>
          <w:szCs w:val="31"/>
        </w:rPr>
        <w:t>省级部门原则上应予以公开。按照如下格式说明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：</w:t>
      </w:r>
    </w:p>
    <w:p w14:paraId="30645DB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我部门（单位）绩效</w:t>
      </w:r>
      <w:r>
        <w:rPr>
          <w:rFonts w:hint="eastAsia" w:ascii="仿宋" w:hAnsi="仿宋" w:eastAsia="仿宋"/>
          <w:sz w:val="32"/>
          <w:szCs w:val="32"/>
        </w:rPr>
        <w:t>评价</w:t>
      </w:r>
      <w:r>
        <w:rPr>
          <w:rFonts w:ascii="仿宋" w:hAnsi="仿宋" w:eastAsia="仿宋"/>
          <w:sz w:val="32"/>
          <w:szCs w:val="32"/>
        </w:rPr>
        <w:t>结果</w:t>
      </w:r>
      <w:r>
        <w:rPr>
          <w:rFonts w:hint="eastAsia" w:ascii="仿宋" w:hAnsi="仿宋" w:eastAsia="仿宋"/>
          <w:sz w:val="32"/>
          <w:szCs w:val="32"/>
        </w:rPr>
        <w:t>应用情况</w:t>
      </w:r>
      <w:r>
        <w:rPr>
          <w:rFonts w:ascii="仿宋" w:hAnsi="仿宋" w:eastAsia="仿宋"/>
          <w:sz w:val="32"/>
          <w:szCs w:val="32"/>
        </w:rPr>
        <w:t>如下：</w:t>
      </w:r>
      <w:r>
        <w:rPr>
          <w:rFonts w:hint="eastAsia" w:ascii="仿宋" w:hAnsi="仿宋" w:eastAsia="仿宋"/>
          <w:sz w:val="32"/>
          <w:szCs w:val="32"/>
        </w:rPr>
        <w:t>部门预算项目单位自评、部门评价、转移支付绩效自评等评价结果应用情况，如项目管理、政策调整、资金分配及结果公开等方面内容。</w:t>
      </w:r>
    </w:p>
    <w:p w14:paraId="5CF9565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3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（三）部门评价结果（如有）。除涉密敏感内容外，省</w:t>
      </w:r>
      <w:r>
        <w:rPr>
          <w:rFonts w:ascii="仿宋" w:hAnsi="仿宋" w:eastAsia="仿宋" w:cs="仿宋"/>
          <w:spacing w:val="8"/>
          <w:sz w:val="31"/>
          <w:szCs w:val="31"/>
        </w:rPr>
        <w:t>级部门原则上应将部门评价结果以报告的形式予以公开。报</w:t>
      </w:r>
      <w:r>
        <w:rPr>
          <w:rFonts w:ascii="仿宋" w:hAnsi="仿宋" w:eastAsia="仿宋" w:cs="仿宋"/>
          <w:spacing w:val="-10"/>
          <w:sz w:val="31"/>
          <w:szCs w:val="31"/>
        </w:rPr>
        <w:t>告框架可参考《项目支出绩效评价管理办法》（吉财绩〔</w:t>
      </w:r>
      <w:r>
        <w:rPr>
          <w:rFonts w:ascii="宋体" w:hAnsi="宋体" w:eastAsia="宋体" w:cs="宋体"/>
          <w:spacing w:val="-10"/>
          <w:sz w:val="31"/>
          <w:szCs w:val="31"/>
        </w:rPr>
        <w:t>2022</w:t>
      </w:r>
      <w:r>
        <w:rPr>
          <w:rFonts w:ascii="仿宋" w:hAnsi="仿宋" w:eastAsia="仿宋" w:cs="仿宋"/>
          <w:spacing w:val="-10"/>
          <w:sz w:val="31"/>
          <w:szCs w:val="31"/>
        </w:rPr>
        <w:t>〕</w:t>
      </w:r>
      <w:r>
        <w:rPr>
          <w:rFonts w:ascii="宋体" w:hAnsi="宋体" w:eastAsia="宋体" w:cs="宋体"/>
          <w:spacing w:val="5"/>
          <w:sz w:val="31"/>
          <w:szCs w:val="31"/>
        </w:rPr>
        <w:t>711</w:t>
      </w:r>
      <w:r>
        <w:rPr>
          <w:rFonts w:ascii="仿宋" w:hAnsi="仿宋" w:eastAsia="仿宋" w:cs="仿宋"/>
          <w:spacing w:val="5"/>
          <w:sz w:val="31"/>
          <w:szCs w:val="31"/>
        </w:rPr>
        <w:t>号）中的《项目支出绩效评价报告（参考提纲）》。</w:t>
      </w:r>
    </w:p>
    <w:p w14:paraId="0F659A65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7" w:h="16839"/>
          <w:pgMar w:top="1431" w:right="1694" w:bottom="1153" w:left="1785" w:header="0" w:footer="965" w:gutter="0"/>
          <w:cols w:space="720" w:num="1"/>
        </w:sectPr>
      </w:pPr>
    </w:p>
    <w:p w14:paraId="7E63A90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4" w:lineRule="auto"/>
        <w:ind w:left="671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十一、其他重要事项情况说明</w:t>
      </w:r>
    </w:p>
    <w:p w14:paraId="2D26853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222" w:lineRule="auto"/>
        <w:ind w:left="6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（一）机关运行经费执行情况说明</w:t>
      </w:r>
    </w:p>
    <w:p w14:paraId="67F9625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357" w:lineRule="auto"/>
        <w:ind w:left="19" w:right="170" w:firstLine="65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2023</w:t>
      </w:r>
      <w:r>
        <w:rPr>
          <w:rFonts w:ascii="仿宋" w:hAnsi="仿宋" w:eastAsia="仿宋" w:cs="仿宋"/>
          <w:spacing w:val="7"/>
          <w:sz w:val="31"/>
          <w:szCs w:val="31"/>
        </w:rPr>
        <w:t>年度机关运行经费支出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171.06</w:t>
      </w:r>
      <w:r>
        <w:rPr>
          <w:rFonts w:ascii="仿宋" w:hAnsi="仿宋" w:eastAsia="仿宋" w:cs="仿宋"/>
          <w:spacing w:val="7"/>
          <w:sz w:val="31"/>
          <w:szCs w:val="31"/>
        </w:rPr>
        <w:t>万元，较</w:t>
      </w:r>
      <w:r>
        <w:rPr>
          <w:rFonts w:ascii="宋体" w:hAnsi="宋体" w:eastAsia="宋体" w:cs="宋体"/>
          <w:spacing w:val="7"/>
          <w:sz w:val="31"/>
          <w:szCs w:val="31"/>
        </w:rPr>
        <w:t>2022</w:t>
      </w:r>
      <w:r>
        <w:rPr>
          <w:rFonts w:ascii="仿宋" w:hAnsi="仿宋" w:eastAsia="仿宋" w:cs="仿宋"/>
          <w:spacing w:val="7"/>
          <w:sz w:val="31"/>
          <w:szCs w:val="31"/>
        </w:rPr>
        <w:t>年度增加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1.66</w:t>
      </w:r>
      <w:r>
        <w:rPr>
          <w:rFonts w:ascii="仿宋" w:hAnsi="仿宋" w:eastAsia="仿宋" w:cs="仿宋"/>
          <w:spacing w:val="-4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1</w:t>
      </w:r>
      <w:r>
        <w:rPr>
          <w:rFonts w:ascii="宋体" w:hAnsi="宋体" w:eastAsia="宋体" w:cs="宋体"/>
          <w:spacing w:val="-4"/>
          <w:sz w:val="31"/>
          <w:szCs w:val="31"/>
        </w:rPr>
        <w:t>%</w:t>
      </w:r>
      <w:r>
        <w:rPr>
          <w:rFonts w:ascii="仿宋" w:hAnsi="仿宋" w:eastAsia="仿宋" w:cs="仿宋"/>
          <w:spacing w:val="-4"/>
          <w:sz w:val="31"/>
          <w:szCs w:val="31"/>
        </w:rPr>
        <w:t>，主要是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人员增加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 w14:paraId="3017B72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224" w:lineRule="auto"/>
        <w:ind w:left="6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（二）政府采购支出情况说明</w:t>
      </w:r>
    </w:p>
    <w:p w14:paraId="58A196E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368" w:lineRule="auto"/>
        <w:ind w:left="29" w:right="24" w:firstLine="641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8"/>
          <w:sz w:val="31"/>
          <w:szCs w:val="31"/>
        </w:rPr>
        <w:t>2023</w:t>
      </w:r>
      <w:r>
        <w:rPr>
          <w:rFonts w:ascii="仿宋" w:hAnsi="仿宋" w:eastAsia="仿宋" w:cs="仿宋"/>
          <w:spacing w:val="8"/>
          <w:sz w:val="31"/>
          <w:szCs w:val="31"/>
        </w:rPr>
        <w:t>年度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本单位</w:t>
      </w:r>
      <w:r>
        <w:rPr>
          <w:rFonts w:ascii="仿宋" w:hAnsi="仿宋" w:eastAsia="仿宋" w:cs="仿宋"/>
          <w:spacing w:val="8"/>
          <w:sz w:val="31"/>
          <w:szCs w:val="31"/>
        </w:rPr>
        <w:t>政府采购支出总额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。</w:t>
      </w:r>
    </w:p>
    <w:p w14:paraId="11F8C36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224" w:lineRule="auto"/>
        <w:ind w:left="6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（三）国有资产占用情况说明</w:t>
      </w:r>
    </w:p>
    <w:p w14:paraId="13480B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6" w:line="340" w:lineRule="auto"/>
        <w:ind w:left="21" w:firstLine="650"/>
        <w:textAlignment w:val="baseline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截至</w:t>
      </w:r>
      <w:r>
        <w:rPr>
          <w:rFonts w:ascii="宋体" w:hAnsi="宋体" w:eastAsia="宋体" w:cs="宋体"/>
          <w:sz w:val="31"/>
          <w:szCs w:val="31"/>
        </w:rPr>
        <w:t>2023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ascii="宋体" w:hAnsi="宋体" w:eastAsia="宋体" w:cs="宋体"/>
          <w:sz w:val="31"/>
          <w:szCs w:val="31"/>
        </w:rPr>
        <w:t>12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宋体" w:hAnsi="宋体" w:eastAsia="宋体" w:cs="宋体"/>
          <w:sz w:val="31"/>
          <w:szCs w:val="31"/>
        </w:rPr>
        <w:t>31</w:t>
      </w:r>
      <w:r>
        <w:rPr>
          <w:rFonts w:ascii="仿宋" w:hAnsi="仿宋" w:eastAsia="仿宋" w:cs="仿宋"/>
          <w:sz w:val="31"/>
          <w:szCs w:val="31"/>
        </w:rPr>
        <w:t>日，</w:t>
      </w:r>
      <w:r>
        <w:rPr>
          <w:rFonts w:hint="eastAsia" w:ascii="仿宋" w:hAnsi="仿宋" w:eastAsia="仿宋"/>
          <w:sz w:val="32"/>
          <w:lang w:val="en-US" w:eastAsia="zh-CN"/>
        </w:rPr>
        <w:t>德惠市大房身镇人民政府</w:t>
      </w:r>
      <w:r>
        <w:rPr>
          <w:rFonts w:hint="eastAsia" w:ascii="仿宋" w:hAnsi="仿宋" w:eastAsia="仿宋"/>
          <w:sz w:val="32"/>
        </w:rPr>
        <w:t>（部门标准名称）</w:t>
      </w:r>
      <w:r>
        <w:rPr>
          <w:rFonts w:ascii="仿宋" w:hAnsi="仿宋" w:eastAsia="仿宋" w:cs="仿宋"/>
          <w:spacing w:val="-1"/>
          <w:sz w:val="31"/>
          <w:szCs w:val="31"/>
        </w:rPr>
        <w:t>共有</w:t>
      </w:r>
      <w:r>
        <w:rPr>
          <w:rFonts w:ascii="仿宋" w:hAnsi="仿宋" w:eastAsia="仿宋" w:cs="仿宋"/>
          <w:spacing w:val="7"/>
          <w:sz w:val="31"/>
          <w:szCs w:val="31"/>
        </w:rPr>
        <w:t>车辆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>辆，</w:t>
      </w:r>
      <w:r>
        <w:rPr>
          <w:rFonts w:ascii="仿宋" w:hAnsi="仿宋" w:eastAsia="仿宋" w:cs="仿宋"/>
          <w:spacing w:val="8"/>
          <w:sz w:val="31"/>
          <w:szCs w:val="31"/>
        </w:rPr>
        <w:t>其他用车</w:t>
      </w:r>
      <w:r>
        <w:rPr>
          <w:rFonts w:hint="eastAsia" w:ascii="仿宋" w:hAnsi="仿宋" w:eastAsia="仿宋" w:cs="仿宋"/>
          <w:spacing w:val="-67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辆，其他用车主要是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领导用车</w:t>
      </w:r>
      <w:r>
        <w:rPr>
          <w:rFonts w:ascii="仿宋" w:hAnsi="仿宋" w:eastAsia="仿宋" w:cs="仿宋"/>
          <w:spacing w:val="8"/>
          <w:sz w:val="31"/>
          <w:szCs w:val="31"/>
        </w:rPr>
        <w:t>；单</w:t>
      </w:r>
      <w:r>
        <w:rPr>
          <w:rFonts w:ascii="仿宋" w:hAnsi="仿宋" w:eastAsia="仿宋" w:cs="仿宋"/>
          <w:spacing w:val="2"/>
          <w:sz w:val="31"/>
          <w:szCs w:val="31"/>
        </w:rPr>
        <w:t>位价值</w:t>
      </w:r>
      <w:r>
        <w:rPr>
          <w:rFonts w:ascii="宋体" w:hAnsi="宋体" w:eastAsia="宋体" w:cs="宋体"/>
          <w:spacing w:val="2"/>
          <w:sz w:val="31"/>
          <w:szCs w:val="31"/>
        </w:rPr>
        <w:t>100</w:t>
      </w:r>
      <w:r>
        <w:rPr>
          <w:rFonts w:ascii="仿宋" w:hAnsi="仿宋" w:eastAsia="仿宋" w:cs="仿宋"/>
          <w:spacing w:val="2"/>
          <w:sz w:val="31"/>
          <w:szCs w:val="31"/>
        </w:rPr>
        <w:t>万元（含）以上设备（不含车辆）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台（套）。</w:t>
      </w:r>
    </w:p>
    <w:p w14:paraId="75E41C58">
      <w:pPr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br w:type="page"/>
      </w:r>
    </w:p>
    <w:p w14:paraId="739523EC">
      <w:pPr>
        <w:spacing w:before="286" w:line="34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4"/>
          <w:position w:val="-2"/>
          <w:sz w:val="44"/>
          <w:szCs w:val="44"/>
        </w:rPr>
        <w:t>第四部分</w:t>
      </w:r>
      <w:r>
        <w:rPr>
          <w:rFonts w:hint="eastAsia" w:ascii="黑体" w:hAnsi="黑体" w:eastAsia="黑体" w:cs="黑体"/>
          <w:spacing w:val="-4"/>
          <w:position w:val="-2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-4"/>
          <w:position w:val="-2"/>
          <w:sz w:val="44"/>
          <w:szCs w:val="44"/>
        </w:rPr>
        <w:t>名词解释</w:t>
      </w:r>
    </w:p>
    <w:p w14:paraId="66653DAD">
      <w:pPr>
        <w:pStyle w:val="2"/>
        <w:spacing w:line="315" w:lineRule="auto"/>
      </w:pPr>
    </w:p>
    <w:p w14:paraId="68F9ECE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20" w:lineRule="exact"/>
        <w:ind w:left="39" w:right="13" w:firstLine="65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一、财政拨款收入：</w:t>
      </w:r>
      <w:r>
        <w:rPr>
          <w:rFonts w:ascii="仿宋" w:hAnsi="仿宋" w:eastAsia="仿宋" w:cs="仿宋"/>
          <w:spacing w:val="6"/>
          <w:sz w:val="31"/>
          <w:szCs w:val="31"/>
        </w:rPr>
        <w:t>指单位从同级财政部门取得的财政</w:t>
      </w:r>
      <w:r>
        <w:rPr>
          <w:rFonts w:ascii="仿宋" w:hAnsi="仿宋" w:eastAsia="仿宋" w:cs="仿宋"/>
          <w:spacing w:val="2"/>
          <w:sz w:val="31"/>
          <w:szCs w:val="31"/>
        </w:rPr>
        <w:t>预算资金。</w:t>
      </w:r>
    </w:p>
    <w:p w14:paraId="5392A76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520" w:lineRule="exact"/>
        <w:ind w:left="30" w:right="13" w:firstLine="65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二、上级补助收入：</w:t>
      </w:r>
      <w:r>
        <w:rPr>
          <w:rFonts w:ascii="仿宋" w:hAnsi="仿宋" w:eastAsia="仿宋" w:cs="仿宋"/>
          <w:spacing w:val="6"/>
          <w:sz w:val="31"/>
          <w:szCs w:val="31"/>
        </w:rPr>
        <w:t>指从主管部门和上级单位取得的非</w:t>
      </w:r>
      <w:r>
        <w:rPr>
          <w:rFonts w:ascii="仿宋" w:hAnsi="仿宋" w:eastAsia="仿宋" w:cs="仿宋"/>
          <w:spacing w:val="-1"/>
          <w:sz w:val="31"/>
          <w:szCs w:val="31"/>
        </w:rPr>
        <w:t>财政补助收入。</w:t>
      </w:r>
    </w:p>
    <w:p w14:paraId="595E4FC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520" w:lineRule="exact"/>
        <w:ind w:left="29" w:right="14" w:firstLine="65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val="en-US" w:eastAsia="zh-CN"/>
        </w:rPr>
        <w:t>三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、其他收入：</w:t>
      </w:r>
      <w:r>
        <w:rPr>
          <w:rFonts w:ascii="仿宋" w:hAnsi="仿宋" w:eastAsia="仿宋" w:cs="仿宋"/>
          <w:spacing w:val="7"/>
          <w:sz w:val="31"/>
          <w:szCs w:val="31"/>
        </w:rPr>
        <w:t>指除上述收入以外的各项收入。包括未</w:t>
      </w:r>
      <w:r>
        <w:rPr>
          <w:rFonts w:ascii="仿宋" w:hAnsi="仿宋" w:eastAsia="仿宋" w:cs="仿宋"/>
          <w:spacing w:val="9"/>
          <w:sz w:val="31"/>
          <w:szCs w:val="31"/>
        </w:rPr>
        <w:t>纳入财政预算或财政专户管理的投资收益、银</w:t>
      </w:r>
      <w:r>
        <w:rPr>
          <w:rFonts w:ascii="仿宋" w:hAnsi="仿宋" w:eastAsia="仿宋" w:cs="仿宋"/>
          <w:spacing w:val="8"/>
          <w:sz w:val="31"/>
          <w:szCs w:val="31"/>
        </w:rPr>
        <w:t>行存款利息收</w:t>
      </w:r>
      <w:r>
        <w:rPr>
          <w:rFonts w:ascii="仿宋" w:hAnsi="仿宋" w:eastAsia="仿宋" w:cs="仿宋"/>
          <w:spacing w:val="9"/>
          <w:sz w:val="31"/>
          <w:szCs w:val="31"/>
        </w:rPr>
        <w:t>入、租金收入、捐赠收入，现金盘盈收入、存货</w:t>
      </w:r>
      <w:r>
        <w:rPr>
          <w:rFonts w:ascii="仿宋" w:hAnsi="仿宋" w:eastAsia="仿宋" w:cs="仿宋"/>
          <w:spacing w:val="8"/>
          <w:sz w:val="31"/>
          <w:szCs w:val="31"/>
        </w:rPr>
        <w:t>盘盈收入、</w:t>
      </w:r>
      <w:r>
        <w:rPr>
          <w:rFonts w:ascii="仿宋" w:hAnsi="仿宋" w:eastAsia="仿宋" w:cs="仿宋"/>
          <w:spacing w:val="9"/>
          <w:sz w:val="31"/>
          <w:szCs w:val="31"/>
        </w:rPr>
        <w:t>收回已核销应收及预付款项、无法偿付的应付及</w:t>
      </w:r>
      <w:r>
        <w:rPr>
          <w:rFonts w:ascii="仿宋" w:hAnsi="仿宋" w:eastAsia="仿宋" w:cs="仿宋"/>
          <w:spacing w:val="8"/>
          <w:sz w:val="31"/>
          <w:szCs w:val="31"/>
        </w:rPr>
        <w:t>预收款项，</w:t>
      </w:r>
      <w:r>
        <w:rPr>
          <w:rFonts w:ascii="仿宋" w:hAnsi="仿宋" w:eastAsia="仿宋" w:cs="仿宋"/>
          <w:spacing w:val="9"/>
          <w:sz w:val="31"/>
          <w:szCs w:val="31"/>
        </w:rPr>
        <w:t>从省财政以外的同级单位取得的经费、从非省</w:t>
      </w:r>
      <w:r>
        <w:rPr>
          <w:rFonts w:ascii="仿宋" w:hAnsi="仿宋" w:eastAsia="仿宋" w:cs="仿宋"/>
          <w:spacing w:val="8"/>
          <w:sz w:val="31"/>
          <w:szCs w:val="31"/>
        </w:rPr>
        <w:t>财政取得的经</w:t>
      </w:r>
      <w:r>
        <w:rPr>
          <w:rFonts w:ascii="仿宋" w:hAnsi="仿宋" w:eastAsia="仿宋" w:cs="仿宋"/>
          <w:spacing w:val="6"/>
          <w:sz w:val="31"/>
          <w:szCs w:val="31"/>
        </w:rPr>
        <w:t>费，以及行政单位收到的财政专户管理资金等。</w:t>
      </w:r>
    </w:p>
    <w:p w14:paraId="3DBDC84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520" w:lineRule="exact"/>
        <w:ind w:left="28" w:right="10" w:firstLine="64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5"/>
          <w:sz w:val="31"/>
          <w:szCs w:val="31"/>
          <w:lang w:val="en-US" w:eastAsia="zh-CN"/>
        </w:rPr>
        <w:t>四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、使用非财政拨款结余（含专用结余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）：</w:t>
      </w:r>
      <w:r>
        <w:rPr>
          <w:rFonts w:ascii="仿宋" w:hAnsi="仿宋" w:eastAsia="仿宋" w:cs="仿宋"/>
          <w:spacing w:val="5"/>
          <w:sz w:val="31"/>
          <w:szCs w:val="31"/>
        </w:rPr>
        <w:t>指事业单位</w:t>
      </w:r>
      <w:r>
        <w:rPr>
          <w:rFonts w:ascii="仿宋" w:hAnsi="仿宋" w:eastAsia="仿宋" w:cs="仿宋"/>
          <w:spacing w:val="21"/>
          <w:sz w:val="31"/>
          <w:szCs w:val="31"/>
        </w:rPr>
        <w:t>按照预算管理要求使用非财政拨款结余弥补收支差额的金</w:t>
      </w:r>
      <w:r>
        <w:rPr>
          <w:rFonts w:ascii="仿宋" w:hAnsi="仿宋" w:eastAsia="仿宋" w:cs="仿宋"/>
          <w:spacing w:val="5"/>
          <w:sz w:val="31"/>
          <w:szCs w:val="31"/>
        </w:rPr>
        <w:t>额，以及使用专用结余安排支出的金额。</w:t>
      </w:r>
    </w:p>
    <w:p w14:paraId="55A5634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520" w:lineRule="exact"/>
        <w:ind w:right="13"/>
        <w:jc w:val="righ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val="en-US" w:eastAsia="zh-CN"/>
        </w:rPr>
        <w:t>五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、年初结转和结余：</w:t>
      </w:r>
      <w:r>
        <w:rPr>
          <w:rFonts w:ascii="仿宋" w:hAnsi="仿宋" w:eastAsia="仿宋" w:cs="仿宋"/>
          <w:spacing w:val="7"/>
          <w:sz w:val="31"/>
          <w:szCs w:val="31"/>
        </w:rPr>
        <w:t>指单位以前年度尚未完成、结转</w:t>
      </w:r>
    </w:p>
    <w:p w14:paraId="3824A9E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52E446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20" w:lineRule="exact"/>
        <w:ind w:left="46" w:right="189" w:hanging="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到本年按有关规定用途继续使用的资金，或项目已完成等产</w:t>
      </w:r>
      <w:r>
        <w:rPr>
          <w:rFonts w:ascii="仿宋" w:hAnsi="仿宋" w:eastAsia="仿宋" w:cs="仿宋"/>
          <w:spacing w:val="-3"/>
          <w:sz w:val="31"/>
          <w:szCs w:val="31"/>
        </w:rPr>
        <w:t>生的结余资金。</w:t>
      </w:r>
    </w:p>
    <w:p w14:paraId="2A8F5D5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520" w:lineRule="exact"/>
        <w:ind w:left="29" w:right="153" w:firstLine="65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val="en-US" w:eastAsia="zh-CN"/>
        </w:rPr>
        <w:t>六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、年末结转和结余：</w:t>
      </w:r>
      <w:r>
        <w:rPr>
          <w:rFonts w:ascii="仿宋" w:hAnsi="仿宋" w:eastAsia="仿宋" w:cs="仿宋"/>
          <w:spacing w:val="7"/>
          <w:sz w:val="31"/>
          <w:szCs w:val="31"/>
        </w:rPr>
        <w:t>指单位按有关规定结</w:t>
      </w:r>
      <w:r>
        <w:rPr>
          <w:rFonts w:ascii="仿宋" w:hAnsi="仿宋" w:eastAsia="仿宋" w:cs="仿宋"/>
          <w:spacing w:val="6"/>
          <w:sz w:val="31"/>
          <w:szCs w:val="31"/>
        </w:rPr>
        <w:t>转到下年或</w:t>
      </w:r>
      <w:r>
        <w:rPr>
          <w:rFonts w:ascii="仿宋" w:hAnsi="仿宋" w:eastAsia="仿宋" w:cs="仿宋"/>
          <w:spacing w:val="21"/>
          <w:sz w:val="31"/>
          <w:szCs w:val="31"/>
        </w:rPr>
        <w:t>以后年度继续使用的资金，或项目已完成等产生的结余资</w:t>
      </w:r>
      <w:r>
        <w:rPr>
          <w:rFonts w:ascii="仿宋" w:hAnsi="仿宋" w:eastAsia="仿宋" w:cs="仿宋"/>
          <w:spacing w:val="-16"/>
          <w:sz w:val="31"/>
          <w:szCs w:val="31"/>
        </w:rPr>
        <w:t>金。</w:t>
      </w:r>
    </w:p>
    <w:p w14:paraId="335B888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" w:line="520" w:lineRule="exact"/>
        <w:ind w:left="30" w:right="153" w:firstLine="65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val="en-US" w:eastAsia="zh-CN"/>
        </w:rPr>
        <w:t>七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、基本支出：</w:t>
      </w:r>
      <w:r>
        <w:rPr>
          <w:rFonts w:ascii="仿宋" w:hAnsi="仿宋" w:eastAsia="仿宋" w:cs="仿宋"/>
          <w:spacing w:val="7"/>
          <w:sz w:val="31"/>
          <w:szCs w:val="31"/>
        </w:rPr>
        <w:t>指为保障机构正常运转、完成日常工</w:t>
      </w:r>
      <w:r>
        <w:rPr>
          <w:rFonts w:ascii="仿宋" w:hAnsi="仿宋" w:eastAsia="仿宋" w:cs="仿宋"/>
          <w:spacing w:val="6"/>
          <w:sz w:val="31"/>
          <w:szCs w:val="31"/>
        </w:rPr>
        <w:t>作任务而发生的人员支出和公用支出。</w:t>
      </w:r>
    </w:p>
    <w:p w14:paraId="10072B0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520" w:lineRule="exact"/>
        <w:ind w:left="33" w:right="154" w:firstLine="65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val="en-US" w:eastAsia="zh-CN"/>
        </w:rPr>
        <w:t>八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、项目支出：</w:t>
      </w:r>
      <w:r>
        <w:rPr>
          <w:rFonts w:ascii="仿宋" w:hAnsi="仿宋" w:eastAsia="仿宋" w:cs="仿宋"/>
          <w:spacing w:val="7"/>
          <w:sz w:val="31"/>
          <w:szCs w:val="31"/>
        </w:rPr>
        <w:t>指在基本支出之外为完成特定行政任</w:t>
      </w:r>
      <w:r>
        <w:rPr>
          <w:rFonts w:ascii="仿宋" w:hAnsi="仿宋" w:eastAsia="仿宋" w:cs="仿宋"/>
          <w:spacing w:val="4"/>
          <w:sz w:val="31"/>
          <w:szCs w:val="31"/>
        </w:rPr>
        <w:t>务或事业发展目标所发生的支出。</w:t>
      </w:r>
    </w:p>
    <w:p w14:paraId="702C7B5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520" w:lineRule="exact"/>
        <w:ind w:left="40" w:right="153" w:firstLine="64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val="en-US" w:eastAsia="zh-CN"/>
        </w:rPr>
        <w:t>九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、上缴上级支出：</w:t>
      </w:r>
      <w:r>
        <w:rPr>
          <w:rFonts w:ascii="仿宋" w:hAnsi="仿宋" w:eastAsia="仿宋" w:cs="仿宋"/>
          <w:spacing w:val="7"/>
          <w:sz w:val="31"/>
          <w:szCs w:val="31"/>
        </w:rPr>
        <w:t>指事业单位按照有关</w:t>
      </w:r>
      <w:r>
        <w:rPr>
          <w:rFonts w:ascii="仿宋" w:hAnsi="仿宋" w:eastAsia="仿宋" w:cs="仿宋"/>
          <w:spacing w:val="6"/>
          <w:sz w:val="31"/>
          <w:szCs w:val="31"/>
        </w:rPr>
        <w:t>规定上缴上</w:t>
      </w:r>
      <w:r>
        <w:rPr>
          <w:rFonts w:ascii="仿宋" w:hAnsi="仿宋" w:eastAsia="仿宋" w:cs="仿宋"/>
          <w:spacing w:val="-2"/>
          <w:sz w:val="31"/>
          <w:szCs w:val="31"/>
        </w:rPr>
        <w:t>级单位的支出。</w:t>
      </w:r>
    </w:p>
    <w:p w14:paraId="7404909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520" w:lineRule="exact"/>
        <w:ind w:left="25" w:firstLine="65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val="en-US" w:eastAsia="zh-CN"/>
        </w:rPr>
        <w:t>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、“三公”经费：</w:t>
      </w:r>
      <w:r>
        <w:rPr>
          <w:rFonts w:ascii="仿宋" w:hAnsi="仿宋" w:eastAsia="仿宋" w:cs="仿宋"/>
          <w:spacing w:val="7"/>
          <w:sz w:val="31"/>
          <w:szCs w:val="31"/>
        </w:rPr>
        <w:t>纳入省级财政预决算</w:t>
      </w:r>
      <w:r>
        <w:rPr>
          <w:rFonts w:ascii="仿宋" w:hAnsi="仿宋" w:eastAsia="仿宋" w:cs="仿宋"/>
          <w:spacing w:val="6"/>
          <w:sz w:val="31"/>
          <w:szCs w:val="31"/>
        </w:rPr>
        <w:t>管理的“三</w:t>
      </w:r>
      <w:r>
        <w:rPr>
          <w:rFonts w:ascii="仿宋" w:hAnsi="仿宋" w:eastAsia="仿宋" w:cs="仿宋"/>
          <w:spacing w:val="9"/>
          <w:sz w:val="31"/>
          <w:szCs w:val="31"/>
        </w:rPr>
        <w:t>公”经费，是指省级部门用财政拨款安排的因公出国（境）费、公务用车购置及运行维护费和公务接待费。是党</w:t>
      </w:r>
      <w:r>
        <w:rPr>
          <w:rFonts w:ascii="仿宋" w:hAnsi="仿宋" w:eastAsia="仿宋" w:cs="仿宋"/>
          <w:spacing w:val="8"/>
          <w:sz w:val="31"/>
          <w:szCs w:val="31"/>
        </w:rPr>
        <w:t>政机关</w:t>
      </w:r>
      <w:r>
        <w:rPr>
          <w:rFonts w:ascii="仿宋" w:hAnsi="仿宋" w:eastAsia="仿宋" w:cs="仿宋"/>
          <w:spacing w:val="9"/>
          <w:sz w:val="31"/>
          <w:szCs w:val="31"/>
        </w:rPr>
        <w:t>维持运转或完成特定工作任务所开支的相关支出，</w:t>
      </w:r>
      <w:r>
        <w:rPr>
          <w:rFonts w:ascii="仿宋" w:hAnsi="仿宋" w:eastAsia="仿宋" w:cs="仿宋"/>
          <w:spacing w:val="8"/>
          <w:sz w:val="31"/>
          <w:szCs w:val="31"/>
        </w:rPr>
        <w:t>是政府行</w:t>
      </w:r>
      <w:r>
        <w:rPr>
          <w:rFonts w:ascii="仿宋" w:hAnsi="仿宋" w:eastAsia="仿宋" w:cs="仿宋"/>
          <w:spacing w:val="-12"/>
          <w:sz w:val="31"/>
          <w:szCs w:val="31"/>
        </w:rPr>
        <w:t>政开支的一部分。其中，因公出国（境）费反映公</w:t>
      </w:r>
      <w:r>
        <w:rPr>
          <w:rFonts w:ascii="仿宋" w:hAnsi="仿宋" w:eastAsia="仿宋" w:cs="仿宋"/>
          <w:spacing w:val="-13"/>
          <w:sz w:val="31"/>
          <w:szCs w:val="31"/>
        </w:rPr>
        <w:t>务出国（境）</w:t>
      </w:r>
    </w:p>
    <w:p w14:paraId="0BC2B8A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7" w:h="16839"/>
          <w:pgMar w:top="1431" w:right="1646" w:bottom="1153" w:left="1785" w:header="0" w:footer="965" w:gutter="0"/>
          <w:cols w:space="720" w:num="1"/>
        </w:sectPr>
      </w:pPr>
    </w:p>
    <w:p w14:paraId="530102B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520" w:lineRule="exact"/>
        <w:ind w:left="25" w:firstLine="28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的国际旅费、国外城市间交通费、住宿费、伙食费、培训费、</w:t>
      </w:r>
      <w:r>
        <w:rPr>
          <w:rFonts w:ascii="仿宋" w:hAnsi="仿宋" w:eastAsia="仿宋" w:cs="仿宋"/>
          <w:spacing w:val="9"/>
          <w:sz w:val="31"/>
          <w:szCs w:val="31"/>
        </w:rPr>
        <w:t>公杂费等支出；公务用车购置及运行费反映单位公务用</w:t>
      </w:r>
      <w:r>
        <w:rPr>
          <w:rFonts w:ascii="仿宋" w:hAnsi="仿宋" w:eastAsia="仿宋" w:cs="仿宋"/>
          <w:spacing w:val="8"/>
          <w:sz w:val="31"/>
          <w:szCs w:val="31"/>
        </w:rPr>
        <w:t>车车</w:t>
      </w:r>
      <w:r>
        <w:rPr>
          <w:rFonts w:ascii="仿宋" w:hAnsi="仿宋" w:eastAsia="仿宋" w:cs="仿宋"/>
          <w:spacing w:val="9"/>
          <w:sz w:val="31"/>
          <w:szCs w:val="31"/>
        </w:rPr>
        <w:t>辆购置支出（含车辆购置税）及燃料费、维修费、过桥</w:t>
      </w:r>
      <w:r>
        <w:rPr>
          <w:rFonts w:ascii="仿宋" w:hAnsi="仿宋" w:eastAsia="仿宋" w:cs="仿宋"/>
          <w:spacing w:val="8"/>
          <w:sz w:val="31"/>
          <w:szCs w:val="31"/>
        </w:rPr>
        <w:t>过路</w:t>
      </w:r>
      <w:r>
        <w:rPr>
          <w:rFonts w:ascii="仿宋" w:hAnsi="仿宋" w:eastAsia="仿宋" w:cs="仿宋"/>
          <w:spacing w:val="9"/>
          <w:sz w:val="31"/>
          <w:szCs w:val="31"/>
        </w:rPr>
        <w:t>费、保险费、安全奖励费等支出；公务接待费反映单位</w:t>
      </w:r>
      <w:r>
        <w:rPr>
          <w:rFonts w:ascii="仿宋" w:hAnsi="仿宋" w:eastAsia="仿宋" w:cs="仿宋"/>
          <w:spacing w:val="8"/>
          <w:sz w:val="31"/>
          <w:szCs w:val="31"/>
        </w:rPr>
        <w:t>按规</w:t>
      </w:r>
      <w:r>
        <w:rPr>
          <w:rFonts w:ascii="仿宋" w:hAnsi="仿宋" w:eastAsia="仿宋" w:cs="仿宋"/>
          <w:spacing w:val="7"/>
          <w:sz w:val="31"/>
          <w:szCs w:val="31"/>
        </w:rPr>
        <w:t>定开支的各类公务接待（含外宾接待）支出。</w:t>
      </w:r>
    </w:p>
    <w:p w14:paraId="6A4FA78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520" w:lineRule="exact"/>
        <w:ind w:left="26" w:right="93" w:firstLine="65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val="en-US" w:eastAsia="zh-CN"/>
        </w:rPr>
        <w:t>十一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、机关运行经费：</w:t>
      </w:r>
      <w:r>
        <w:rPr>
          <w:rFonts w:ascii="仿宋" w:hAnsi="仿宋" w:eastAsia="仿宋" w:cs="仿宋"/>
          <w:spacing w:val="7"/>
          <w:sz w:val="31"/>
          <w:szCs w:val="31"/>
        </w:rPr>
        <w:t>指为保障行政单位（包</w:t>
      </w:r>
      <w:r>
        <w:rPr>
          <w:rFonts w:ascii="仿宋" w:hAnsi="仿宋" w:eastAsia="仿宋" w:cs="仿宋"/>
          <w:spacing w:val="6"/>
          <w:sz w:val="31"/>
          <w:szCs w:val="31"/>
        </w:rPr>
        <w:t>括参照公</w:t>
      </w:r>
      <w:r>
        <w:rPr>
          <w:rFonts w:ascii="仿宋" w:hAnsi="仿宋" w:eastAsia="仿宋" w:cs="仿宋"/>
          <w:spacing w:val="9"/>
          <w:sz w:val="31"/>
          <w:szCs w:val="31"/>
        </w:rPr>
        <w:t>务员法管理的事业单位）运行用于购买货物和服务的</w:t>
      </w:r>
      <w:r>
        <w:rPr>
          <w:rFonts w:ascii="仿宋" w:hAnsi="仿宋" w:eastAsia="仿宋" w:cs="仿宋"/>
          <w:spacing w:val="8"/>
          <w:sz w:val="31"/>
          <w:szCs w:val="31"/>
        </w:rPr>
        <w:t>各项资</w:t>
      </w:r>
      <w:r>
        <w:rPr>
          <w:rFonts w:ascii="仿宋" w:hAnsi="仿宋" w:eastAsia="仿宋" w:cs="仿宋"/>
          <w:spacing w:val="6"/>
          <w:sz w:val="31"/>
          <w:szCs w:val="31"/>
        </w:rPr>
        <w:t>金，包括办公费、印刷费、邮电费、差旅费、会议费、福利</w:t>
      </w:r>
      <w:r>
        <w:rPr>
          <w:rFonts w:ascii="仿宋" w:hAnsi="仿宋" w:eastAsia="仿宋" w:cs="仿宋"/>
          <w:spacing w:val="9"/>
          <w:sz w:val="31"/>
          <w:szCs w:val="31"/>
        </w:rPr>
        <w:t>费、日常维修费、专用材料及一般设备购置费、</w:t>
      </w:r>
      <w:r>
        <w:rPr>
          <w:rFonts w:ascii="仿宋" w:hAnsi="仿宋" w:eastAsia="仿宋" w:cs="仿宋"/>
          <w:spacing w:val="8"/>
          <w:sz w:val="31"/>
          <w:szCs w:val="31"/>
        </w:rPr>
        <w:t>办公用房水</w:t>
      </w:r>
      <w:r>
        <w:rPr>
          <w:rFonts w:ascii="仿宋" w:hAnsi="仿宋" w:eastAsia="仿宋" w:cs="仿宋"/>
          <w:spacing w:val="9"/>
          <w:sz w:val="31"/>
          <w:szCs w:val="31"/>
        </w:rPr>
        <w:t>电费、办公用房取暖费、办公用房物业管理费、</w:t>
      </w:r>
      <w:r>
        <w:rPr>
          <w:rFonts w:ascii="仿宋" w:hAnsi="仿宋" w:eastAsia="仿宋" w:cs="仿宋"/>
          <w:spacing w:val="8"/>
          <w:sz w:val="31"/>
          <w:szCs w:val="31"/>
        </w:rPr>
        <w:t>公务用车运</w:t>
      </w:r>
      <w:r>
        <w:rPr>
          <w:rFonts w:ascii="仿宋" w:hAnsi="仿宋" w:eastAsia="仿宋" w:cs="仿宋"/>
          <w:spacing w:val="3"/>
          <w:sz w:val="31"/>
          <w:szCs w:val="31"/>
        </w:rPr>
        <w:t>行维护费以及其他费用。</w:t>
      </w:r>
    </w:p>
    <w:p w14:paraId="46DC50F4">
      <w:pPr>
        <w:spacing w:before="249" w:line="355" w:lineRule="auto"/>
        <w:ind w:left="26" w:right="98" w:firstLine="648"/>
        <w:rPr>
          <w:rFonts w:ascii="仿宋" w:hAnsi="仿宋" w:eastAsia="仿宋" w:cs="仿宋"/>
          <w:sz w:val="31"/>
          <w:szCs w:val="31"/>
        </w:rPr>
      </w:pPr>
    </w:p>
    <w:p w14:paraId="711CB525"/>
    <w:p w14:paraId="54D6A60E">
      <w:pPr>
        <w:spacing w:before="249" w:line="355" w:lineRule="auto"/>
        <w:ind w:left="26" w:right="98" w:firstLine="648"/>
        <w:rPr>
          <w:rFonts w:ascii="仿宋" w:hAnsi="仿宋" w:eastAsia="仿宋" w:cs="仿宋"/>
          <w:sz w:val="31"/>
          <w:szCs w:val="31"/>
        </w:rPr>
      </w:pPr>
    </w:p>
    <w:sectPr>
      <w:footerReference r:id="rId21" w:type="default"/>
      <w:pgSz w:w="11907" w:h="16839"/>
      <w:pgMar w:top="1431" w:right="1705" w:bottom="1153" w:left="1785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99D43">
    <w:pPr>
      <w:spacing w:line="17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4E640">
    <w:pPr>
      <w:spacing w:line="177" w:lineRule="auto"/>
      <w:ind w:left="409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8"/>
        <w:sz w:val="21"/>
        <w:szCs w:val="21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02ED2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0E05B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6A517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BA3C7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23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9EEA9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0321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6517D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2B28F">
    <w:pPr>
      <w:spacing w:line="17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6A29C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C753D">
    <w:pPr>
      <w:spacing w:line="174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6D3F9">
    <w:pPr>
      <w:spacing w:line="176" w:lineRule="auto"/>
      <w:ind w:left="412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D393B">
    <w:pPr>
      <w:spacing w:line="174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A265F">
    <w:pPr>
      <w:spacing w:line="176" w:lineRule="auto"/>
      <w:ind w:left="412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16D54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0B5D8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E5E4A"/>
    <w:multiLevelType w:val="singleLevel"/>
    <w:tmpl w:val="8B8E5E4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70DF78A"/>
    <w:multiLevelType w:val="singleLevel"/>
    <w:tmpl w:val="370DF78A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ZkNGZiNzIzMTZlNzhkMzA2ZTU1M2EyZGZjOTYyNjkifQ=="/>
  </w:docVars>
  <w:rsids>
    <w:rsidRoot w:val="00000000"/>
    <w:rsid w:val="008F6EB2"/>
    <w:rsid w:val="00C36482"/>
    <w:rsid w:val="00EA40E8"/>
    <w:rsid w:val="010C0502"/>
    <w:rsid w:val="02337FA0"/>
    <w:rsid w:val="05D37841"/>
    <w:rsid w:val="063C01D7"/>
    <w:rsid w:val="08FD6983"/>
    <w:rsid w:val="0B985E42"/>
    <w:rsid w:val="0D9755F8"/>
    <w:rsid w:val="0DAA6592"/>
    <w:rsid w:val="0DD028B8"/>
    <w:rsid w:val="0FC56398"/>
    <w:rsid w:val="10ED552F"/>
    <w:rsid w:val="10FD57FA"/>
    <w:rsid w:val="11166833"/>
    <w:rsid w:val="1779265B"/>
    <w:rsid w:val="18F2402A"/>
    <w:rsid w:val="19A545D4"/>
    <w:rsid w:val="1B697EA8"/>
    <w:rsid w:val="1CF814E3"/>
    <w:rsid w:val="1E5668CB"/>
    <w:rsid w:val="1E9A3C09"/>
    <w:rsid w:val="20474C5B"/>
    <w:rsid w:val="20E73D48"/>
    <w:rsid w:val="2103319B"/>
    <w:rsid w:val="24A51F50"/>
    <w:rsid w:val="24B403E6"/>
    <w:rsid w:val="2DE27D71"/>
    <w:rsid w:val="2E006793"/>
    <w:rsid w:val="2F4B5DEA"/>
    <w:rsid w:val="30DD6F16"/>
    <w:rsid w:val="315216B2"/>
    <w:rsid w:val="33DE0FDB"/>
    <w:rsid w:val="34513F8B"/>
    <w:rsid w:val="35C10BB4"/>
    <w:rsid w:val="37927DAB"/>
    <w:rsid w:val="37980099"/>
    <w:rsid w:val="396E5528"/>
    <w:rsid w:val="3B1B2B15"/>
    <w:rsid w:val="3C067321"/>
    <w:rsid w:val="3CE6216B"/>
    <w:rsid w:val="42381211"/>
    <w:rsid w:val="427C033D"/>
    <w:rsid w:val="429338D8"/>
    <w:rsid w:val="440C3942"/>
    <w:rsid w:val="4484172B"/>
    <w:rsid w:val="463A4797"/>
    <w:rsid w:val="476804A9"/>
    <w:rsid w:val="48A837B8"/>
    <w:rsid w:val="4A9401EE"/>
    <w:rsid w:val="4E121B55"/>
    <w:rsid w:val="51247F7B"/>
    <w:rsid w:val="52880638"/>
    <w:rsid w:val="56D3653E"/>
    <w:rsid w:val="575B456D"/>
    <w:rsid w:val="59D443CE"/>
    <w:rsid w:val="5AB2229E"/>
    <w:rsid w:val="5AB50438"/>
    <w:rsid w:val="5B92329F"/>
    <w:rsid w:val="5D310D37"/>
    <w:rsid w:val="5D4B6E32"/>
    <w:rsid w:val="60583D40"/>
    <w:rsid w:val="6234247B"/>
    <w:rsid w:val="65FE7137"/>
    <w:rsid w:val="683C5CF5"/>
    <w:rsid w:val="6BB32772"/>
    <w:rsid w:val="6C4909E0"/>
    <w:rsid w:val="6CE95D1F"/>
    <w:rsid w:val="6D0F4CE4"/>
    <w:rsid w:val="6D3D3B1F"/>
    <w:rsid w:val="6D7221B9"/>
    <w:rsid w:val="6E4E6782"/>
    <w:rsid w:val="6E5E5ACA"/>
    <w:rsid w:val="6F2A2D4B"/>
    <w:rsid w:val="7016507D"/>
    <w:rsid w:val="71EC253A"/>
    <w:rsid w:val="72AB4226"/>
    <w:rsid w:val="74950E3C"/>
    <w:rsid w:val="754461E9"/>
    <w:rsid w:val="78E823CD"/>
    <w:rsid w:val="7B7B492E"/>
    <w:rsid w:val="7C0821F1"/>
    <w:rsid w:val="7CEF1130"/>
    <w:rsid w:val="7F285D5E"/>
    <w:rsid w:val="7FB31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0" Type="http://schemas.openxmlformats.org/officeDocument/2006/relationships/fontTable" Target="fontTable.xml"/><Relationship Id="rId4" Type="http://schemas.openxmlformats.org/officeDocument/2006/relationships/endnotes" Target="endnotes.xml"/><Relationship Id="rId39" Type="http://schemas.openxmlformats.org/officeDocument/2006/relationships/numbering" Target="numbering.xml"/><Relationship Id="rId38" Type="http://schemas.openxmlformats.org/officeDocument/2006/relationships/image" Target="media/image16.png"/><Relationship Id="rId37" Type="http://schemas.openxmlformats.org/officeDocument/2006/relationships/image" Target="media/image15.png"/><Relationship Id="rId36" Type="http://schemas.openxmlformats.org/officeDocument/2006/relationships/image" Target="media/image14.png"/><Relationship Id="rId35" Type="http://schemas.openxmlformats.org/officeDocument/2006/relationships/image" Target="media/image13.png"/><Relationship Id="rId34" Type="http://schemas.openxmlformats.org/officeDocument/2006/relationships/image" Target="media/image12.png"/><Relationship Id="rId33" Type="http://schemas.openxmlformats.org/officeDocument/2006/relationships/image" Target="media/image11.png"/><Relationship Id="rId32" Type="http://schemas.openxmlformats.org/officeDocument/2006/relationships/image" Target="media/image10.png"/><Relationship Id="rId31" Type="http://schemas.openxmlformats.org/officeDocument/2006/relationships/image" Target="media/image9.png"/><Relationship Id="rId30" Type="http://schemas.openxmlformats.org/officeDocument/2006/relationships/image" Target="media/image8.png"/><Relationship Id="rId3" Type="http://schemas.openxmlformats.org/officeDocument/2006/relationships/footnotes" Target="footnotes.xml"/><Relationship Id="rId29" Type="http://schemas.openxmlformats.org/officeDocument/2006/relationships/image" Target="media/image7.png"/><Relationship Id="rId28" Type="http://schemas.openxmlformats.org/officeDocument/2006/relationships/image" Target="media/image6.png"/><Relationship Id="rId27" Type="http://schemas.openxmlformats.org/officeDocument/2006/relationships/image" Target="media/image5.png"/><Relationship Id="rId26" Type="http://schemas.openxmlformats.org/officeDocument/2006/relationships/image" Target="media/image4.png"/><Relationship Id="rId25" Type="http://schemas.openxmlformats.org/officeDocument/2006/relationships/image" Target="media/image3.png"/><Relationship Id="rId24" Type="http://schemas.openxmlformats.org/officeDocument/2006/relationships/image" Target="media/image2.png"/><Relationship Id="rId23" Type="http://schemas.openxmlformats.org/officeDocument/2006/relationships/image" Target="media/image1.png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7454</Words>
  <Characters>8019</Characters>
  <TotalTime>18</TotalTime>
  <ScaleCrop>false</ScaleCrop>
  <LinksUpToDate>false</LinksUpToDate>
  <CharactersWithSpaces>8044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2024-08-20T12:29:00Z</dcterms:created>
  <dc:creator>王志强</dc:creator>
  <cp:lastModifiedBy>陈禹蒙</cp:lastModifiedBy>
  <dcterms:modified xsi:type="dcterms:W3CDTF">2024-09-19T06:43:59Z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2024-08-20T12:29:24Z</vt:filetime>
  </property>
  <property fmtid="{D5CDD505-2E9C-101B-9397-08002B2CF9AE}" pid="4" name="KSOProductBuildVer">
    <vt:lpwstr>2052-12.1.0.18166</vt:lpwstr>
  </property>
  <property fmtid="{D5CDD505-2E9C-101B-9397-08002B2CF9AE}" pid="5" name="ICV">
    <vt:lpwstr>368FEA62A05440D087E4AB91590B17D4_13</vt:lpwstr>
  </property>
</Properties>
</file>