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80" w:line="187" w:lineRule="auto"/>
        <w:ind w:left="325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宋体" w:hAnsi="宋体" w:eastAsia="宋体" w:cs="宋体"/>
          <w:spacing w:val="4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"/>
          <w:sz w:val="42"/>
          <w:szCs w:val="42"/>
        </w:rPr>
        <w:t>年度</w:t>
      </w:r>
    </w:p>
    <w:p>
      <w:pPr>
        <w:pStyle w:val="2"/>
        <w:spacing w:line="477" w:lineRule="auto"/>
      </w:pPr>
    </w:p>
    <w:p>
      <w:pPr>
        <w:spacing w:before="189" w:line="181" w:lineRule="auto"/>
        <w:ind w:left="1099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34"/>
          <w:sz w:val="44"/>
          <w:szCs w:val="44"/>
          <w:lang w:eastAsia="zh-CN"/>
        </w:rPr>
        <w:t>德惠市惠发街道办事处</w:t>
      </w:r>
      <w:r>
        <w:rPr>
          <w:rFonts w:ascii="微软雅黑" w:hAnsi="微软雅黑" w:eastAsia="微软雅黑" w:cs="微软雅黑"/>
          <w:spacing w:val="34"/>
          <w:sz w:val="44"/>
          <w:szCs w:val="44"/>
        </w:rPr>
        <w:t>部门决算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224" w:lineRule="auto"/>
        <w:ind w:left="2944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2024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3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35"/>
          <w:sz w:val="31"/>
          <w:szCs w:val="31"/>
          <w:lang w:val="en-US" w:eastAsia="zh-CN"/>
        </w:rPr>
        <w:t>12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3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289" w:lineRule="auto"/>
      </w:pPr>
    </w:p>
    <w:p>
      <w:pPr>
        <w:pStyle w:val="2"/>
        <w:spacing w:line="290" w:lineRule="auto"/>
      </w:pPr>
    </w:p>
    <w:p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49"/>
          <w:sz w:val="43"/>
          <w:szCs w:val="43"/>
        </w:rPr>
        <w:t>目</w:t>
      </w:r>
      <w:r>
        <w:rPr>
          <w:rFonts w:ascii="仿宋" w:hAnsi="仿宋" w:eastAsia="仿宋" w:cs="仿宋"/>
          <w:spacing w:val="20"/>
          <w:sz w:val="43"/>
          <w:szCs w:val="43"/>
        </w:rPr>
        <w:t xml:space="preserve">   </w:t>
      </w:r>
      <w:r>
        <w:rPr>
          <w:rFonts w:ascii="仿宋" w:hAnsi="仿宋" w:eastAsia="仿宋" w:cs="仿宋"/>
          <w:spacing w:val="-49"/>
          <w:sz w:val="43"/>
          <w:szCs w:val="43"/>
        </w:rPr>
        <w:t>录</w:t>
      </w:r>
    </w:p>
    <w:p>
      <w:pPr>
        <w:pStyle w:val="2"/>
        <w:spacing w:line="341" w:lineRule="auto"/>
      </w:pPr>
    </w:p>
    <w:p>
      <w:pPr>
        <w:pStyle w:val="2"/>
        <w:spacing w:line="342" w:lineRule="auto"/>
      </w:pPr>
    </w:p>
    <w:p>
      <w:pPr>
        <w:spacing w:before="101" w:line="223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第一部分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部门概况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一、部门职责</w:t>
      </w:r>
    </w:p>
    <w:p>
      <w:pPr>
        <w:spacing w:before="250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二、机构设置及部门决算单位构成</w:t>
      </w:r>
    </w:p>
    <w:p>
      <w:pPr>
        <w:spacing w:before="250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第二部分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2023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年度部门决算表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一、收入支出决算总表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before="249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before="250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before="24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五、一般公共预算财政拨款支出决算表</w:t>
      </w:r>
    </w:p>
    <w:p>
      <w:pPr>
        <w:spacing w:before="250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六、一般公共预算财政拨款基本支出决算明细表</w:t>
      </w:r>
    </w:p>
    <w:p>
      <w:pPr>
        <w:spacing w:before="251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七、政府性基金预算财政拨款收入支出决算表</w:t>
      </w:r>
    </w:p>
    <w:p>
      <w:pPr>
        <w:spacing w:before="252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八、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p>
      <w:pPr>
        <w:spacing w:before="249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九、财政拨款“三公”经费支出决算表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十、部门预算项目支出绩效自评表</w:t>
      </w:r>
    </w:p>
    <w:p>
      <w:pPr>
        <w:spacing w:before="249" w:line="223" w:lineRule="auto"/>
        <w:ind w:left="49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第三部分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2023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年度部门决算情况说明</w:t>
      </w:r>
    </w:p>
    <w:p>
      <w:pPr>
        <w:spacing w:before="250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一、收入支出决算总体情况说明</w:t>
      </w:r>
    </w:p>
    <w:p>
      <w:pPr>
        <w:spacing w:before="250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二、收入决算情况说明</w:t>
      </w:r>
    </w:p>
    <w:p>
      <w:pPr>
        <w:spacing w:before="250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三、支出决算情况说明</w:t>
      </w:r>
    </w:p>
    <w:p>
      <w:pPr>
        <w:spacing w:before="249" w:line="223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四、财政拨款收入支出决算总体情况说明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  <w:sectPr>
          <w:footerReference r:id="rId4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spacing w:before="159" w:line="223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五、一般公共预算财政拨款支出决算情况说明</w:t>
      </w:r>
    </w:p>
    <w:p>
      <w:pPr>
        <w:spacing w:before="249" w:line="223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六、一般公共预算财政拨款基本支出决算情况说明</w:t>
      </w:r>
    </w:p>
    <w:p>
      <w:pPr>
        <w:spacing w:before="250" w:line="221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七、政府性基金预算财政拨款收入支出决算情况说明</w:t>
      </w:r>
    </w:p>
    <w:p>
      <w:pPr>
        <w:spacing w:before="251" w:line="223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八、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国有资本经营预算财政拨款支出决算情况说明</w:t>
      </w:r>
    </w:p>
    <w:p>
      <w:pPr>
        <w:spacing w:before="250" w:line="223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九、财政拨款“三公”经费支出决算情况说明</w:t>
      </w:r>
    </w:p>
    <w:p>
      <w:pPr>
        <w:spacing w:before="249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十、绩效评价情况说明</w:t>
      </w:r>
    </w:p>
    <w:p>
      <w:pPr>
        <w:spacing w:before="248" w:line="223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十一、其他重要事项情况说明</w:t>
      </w:r>
    </w:p>
    <w:p>
      <w:pPr>
        <w:spacing w:before="250" w:line="224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z w:val="31"/>
          <w:szCs w:val="31"/>
        </w:rPr>
        <w:t>第四部分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z w:val="31"/>
          <w:szCs w:val="31"/>
        </w:rPr>
        <w:t>名词解释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pStyle w:val="2"/>
        <w:spacing w:line="328" w:lineRule="auto"/>
      </w:pPr>
    </w:p>
    <w:p>
      <w:pPr>
        <w:pStyle w:val="2"/>
        <w:spacing w:line="328" w:lineRule="auto"/>
      </w:pPr>
    </w:p>
    <w:p>
      <w:pPr>
        <w:spacing w:before="189" w:line="443" w:lineRule="exact"/>
        <w:ind w:left="221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第一部分</w:t>
      </w:r>
      <w:r>
        <w:rPr>
          <w:rFonts w:ascii="微软雅黑" w:hAnsi="微软雅黑" w:eastAsia="微软雅黑" w:cs="微软雅黑"/>
          <w:spacing w:val="1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1"/>
          <w:position w:val="-2"/>
          <w:sz w:val="44"/>
          <w:szCs w:val="44"/>
        </w:rPr>
        <w:t>部门概况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751"/>
      </w:pPr>
      <w:r>
        <w:rPr>
          <w:rFonts w:ascii="黑体" w:hAnsi="黑体" w:eastAsia="黑体" w:cs="黑体"/>
          <w:spacing w:val="7"/>
          <w:sz w:val="31"/>
          <w:szCs w:val="31"/>
        </w:rPr>
        <w:t>一、部门主要职责</w:t>
      </w:r>
    </w:p>
    <w:p>
      <w:pPr>
        <w:numPr>
          <w:ilvl w:val="0"/>
          <w:numId w:val="0"/>
        </w:numPr>
        <w:spacing w:line="576" w:lineRule="exact"/>
        <w:ind w:firstLine="620" w:firstLineChars="20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（一）宣传贯彻执行党的路线方针政策和国家法律法规，落实上级党委、政府决策部署。</w:t>
      </w:r>
    </w:p>
    <w:p>
      <w:pPr>
        <w:spacing w:line="576" w:lineRule="exact"/>
        <w:ind w:firstLine="620" w:firstLineChars="20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二</w:t>
      </w:r>
      <w:r>
        <w:rPr>
          <w:rFonts w:hint="eastAsia" w:ascii="仿宋" w:hAnsi="仿宋" w:eastAsia="仿宋" w:cs="仿宋"/>
          <w:sz w:val="31"/>
          <w:szCs w:val="31"/>
        </w:rPr>
        <w:t>）加强党的建设。落实基层党建工作责任制，坚持和完善党的全面领导，加强党的组织体系建设，不断</w:t>
      </w:r>
      <w:r>
        <w:rPr>
          <w:rFonts w:hint="eastAsia" w:ascii="仿宋" w:hAnsi="仿宋" w:eastAsia="仿宋" w:cs="仿宋"/>
          <w:bCs/>
          <w:sz w:val="31"/>
          <w:szCs w:val="31"/>
        </w:rPr>
        <w:t>增强党的政治领导力、思想引领力、群众组织力和社会号召力。全面推进</w:t>
      </w:r>
      <w:r>
        <w:rPr>
          <w:rFonts w:hint="eastAsia" w:ascii="仿宋" w:hAnsi="仿宋" w:eastAsia="仿宋" w:cs="仿宋"/>
          <w:sz w:val="31"/>
          <w:szCs w:val="31"/>
        </w:rPr>
        <w:t>党的政治建设、思想建设、组织建设、作风建设、纪律建设，把制度建设贯穿其中，深入推进反腐败斗争。加强街道党工委自身建设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统筹协调辖区内各领域党建工作，抓好新领域新业态新群体党建，推进街道、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</w:t>
      </w:r>
      <w:r>
        <w:rPr>
          <w:rFonts w:hint="eastAsia" w:ascii="仿宋" w:hAnsi="仿宋" w:eastAsia="仿宋" w:cs="仿宋"/>
          <w:sz w:val="31"/>
          <w:szCs w:val="31"/>
        </w:rPr>
        <w:t>党建与单位党建、行业党建、区域化党建互联互动。加强基层意识形态、精神文明建设和统战工作。</w:t>
      </w:r>
    </w:p>
    <w:p>
      <w:pPr>
        <w:spacing w:line="576" w:lineRule="exact"/>
        <w:ind w:firstLine="620" w:firstLineChars="200"/>
        <w:jc w:val="lef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三</w:t>
      </w:r>
      <w:r>
        <w:rPr>
          <w:rFonts w:hint="eastAsia" w:ascii="仿宋" w:hAnsi="仿宋" w:eastAsia="仿宋" w:cs="仿宋"/>
          <w:sz w:val="31"/>
          <w:szCs w:val="31"/>
        </w:rPr>
        <w:t>）统筹区域发展。统筹落实辖区发展的重大决策和辖区建设规划，强化对涉及本区域内人民群众利益的重大决策、重大项目和公共服务设施布局的参与权和建议权，推动辖区健康、有序、可持续发展。推进产业升级、经济结构调整和经济增长方式转变，推动本地经济发展。负责相关统计工作。统筹做好企业服务工作，营造良好营商环境。做好人才服务和引进工作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spacing w:line="576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四</w:t>
      </w:r>
      <w:r>
        <w:rPr>
          <w:rFonts w:hint="eastAsia" w:ascii="仿宋" w:hAnsi="仿宋" w:eastAsia="仿宋" w:cs="仿宋"/>
          <w:sz w:val="31"/>
          <w:szCs w:val="31"/>
        </w:rPr>
        <w:t>）组织公共服务。推进办事处职能由“管理型”向“服务型”转变，推进基本公共服务均等化，推动优质公共服务资源向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</w:t>
      </w:r>
      <w:r>
        <w:rPr>
          <w:rFonts w:hint="eastAsia" w:ascii="仿宋" w:hAnsi="仿宋" w:eastAsia="仿宋" w:cs="仿宋"/>
          <w:sz w:val="31"/>
          <w:szCs w:val="31"/>
        </w:rPr>
        <w:t>延伸。创新公共服务供给方式，加快建立政府主导、社会参与、公办民办并举的公共服务供给模式，加大办事处购买服务力度。组织实施与群众生活密切相关的各项公共服务，落实人社、医保、民政、退役军人、教育、文化旅游、体育、卫生健康、残联、红十字会等领域相关政策，做好民生保障工作</w:t>
      </w:r>
      <w:r>
        <w:rPr>
          <w:rFonts w:hint="eastAsia" w:ascii="仿宋" w:hAnsi="仿宋" w:eastAsia="仿宋" w:cs="仿宋"/>
          <w:bCs/>
          <w:sz w:val="31"/>
          <w:szCs w:val="31"/>
        </w:rPr>
        <w:t>。</w:t>
      </w:r>
    </w:p>
    <w:p>
      <w:pPr>
        <w:spacing w:line="576" w:lineRule="exact"/>
        <w:ind w:firstLine="589" w:firstLineChars="19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五</w:t>
      </w:r>
      <w:r>
        <w:rPr>
          <w:rFonts w:hint="eastAsia" w:ascii="仿宋" w:hAnsi="仿宋" w:eastAsia="仿宋" w:cs="仿宋"/>
          <w:sz w:val="31"/>
          <w:szCs w:val="31"/>
        </w:rPr>
        <w:t>）实施综合管理。负责辖区公共事务综合管理，组织领导、推进实施、综合协调和监督检查辖区内城市管理、人口管理、社会管理等综合性工作。加强对上级职能部门派驻工作力量的指挥调度和考核监督。</w:t>
      </w:r>
      <w:r>
        <w:rPr>
          <w:rFonts w:hint="eastAsia" w:ascii="仿宋" w:hAnsi="仿宋" w:eastAsia="仿宋" w:cs="仿宋"/>
          <w:bCs/>
          <w:sz w:val="31"/>
          <w:szCs w:val="31"/>
        </w:rPr>
        <w:t>负责</w:t>
      </w:r>
      <w:r>
        <w:rPr>
          <w:rFonts w:hint="eastAsia" w:ascii="仿宋" w:hAnsi="仿宋" w:eastAsia="仿宋" w:cs="仿宋"/>
          <w:sz w:val="31"/>
          <w:szCs w:val="31"/>
        </w:rPr>
        <w:t>综合执法、生态环境保护</w:t>
      </w:r>
      <w:r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自然资源管理</w:t>
      </w:r>
      <w:r>
        <w:rPr>
          <w:rFonts w:hint="eastAsia" w:ascii="仿宋" w:hAnsi="仿宋" w:eastAsia="仿宋" w:cs="仿宋"/>
          <w:sz w:val="31"/>
          <w:szCs w:val="31"/>
        </w:rPr>
        <w:t xml:space="preserve">工作。 </w:t>
      </w:r>
    </w:p>
    <w:p>
      <w:pPr>
        <w:spacing w:line="560" w:lineRule="exact"/>
        <w:ind w:firstLine="589" w:firstLineChars="19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六</w:t>
      </w:r>
      <w:r>
        <w:rPr>
          <w:rFonts w:hint="eastAsia" w:ascii="仿宋" w:hAnsi="仿宋" w:eastAsia="仿宋" w:cs="仿宋"/>
          <w:sz w:val="31"/>
          <w:szCs w:val="31"/>
        </w:rPr>
        <w:t>）动员社会参与。坚持以基层党建引领基层治理，动员指导辖区内各类单位、社会组织和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</w:t>
      </w:r>
      <w:r>
        <w:rPr>
          <w:rFonts w:hint="eastAsia" w:ascii="仿宋" w:hAnsi="仿宋" w:eastAsia="仿宋" w:cs="仿宋"/>
          <w:sz w:val="31"/>
          <w:szCs w:val="31"/>
        </w:rPr>
        <w:t>等社会力量参与社会治理，引导辖区单位履行社会责任，整合辖区内各种社会力量为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街道</w:t>
      </w:r>
      <w:r>
        <w:rPr>
          <w:rFonts w:hint="eastAsia" w:ascii="仿宋" w:hAnsi="仿宋" w:eastAsia="仿宋" w:cs="仿宋"/>
          <w:sz w:val="31"/>
          <w:szCs w:val="31"/>
        </w:rPr>
        <w:t>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</w:t>
      </w:r>
      <w:r>
        <w:rPr>
          <w:rFonts w:hint="eastAsia" w:ascii="仿宋" w:hAnsi="仿宋" w:eastAsia="仿宋" w:cs="仿宋"/>
          <w:sz w:val="31"/>
          <w:szCs w:val="31"/>
        </w:rPr>
        <w:t>发展服务。做实做强由党建引领的基层共治基本单元，构建党组织统一领导、各类组织积极协同、广大群众广泛参与的基层治理体系。</w:t>
      </w:r>
    </w:p>
    <w:p>
      <w:pPr>
        <w:spacing w:line="560" w:lineRule="exact"/>
        <w:ind w:firstLine="589" w:firstLineChars="19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七</w:t>
      </w:r>
      <w:r>
        <w:rPr>
          <w:rFonts w:hint="eastAsia" w:ascii="仿宋" w:hAnsi="仿宋" w:eastAsia="仿宋" w:cs="仿宋"/>
          <w:sz w:val="31"/>
          <w:szCs w:val="31"/>
        </w:rPr>
        <w:t>）领导基层自治。发挥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</w:t>
      </w:r>
      <w:r>
        <w:rPr>
          <w:rFonts w:hint="eastAsia" w:ascii="仿宋" w:hAnsi="仿宋" w:eastAsia="仿宋" w:cs="仿宋"/>
          <w:sz w:val="31"/>
          <w:szCs w:val="31"/>
        </w:rPr>
        <w:t>党组织在基层群众自治组织建设中的领导核心作用，完善党领导下的基层社会治理体系，加强社会主义民主法治建设，做好组织群众、宣传群众、凝聚群众、服务群众工作，发挥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村（</w:t>
      </w:r>
      <w:r>
        <w:rPr>
          <w:rFonts w:hint="eastAsia" w:ascii="仿宋" w:hAnsi="仿宋" w:eastAsia="仿宋" w:cs="仿宋"/>
          <w:sz w:val="31"/>
          <w:szCs w:val="31"/>
        </w:rPr>
        <w:t>居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z w:val="31"/>
          <w:szCs w:val="31"/>
        </w:rPr>
        <w:t>民在基层社会治理中的主体作用，提高自治整体水平。</w:t>
      </w:r>
    </w:p>
    <w:p>
      <w:pPr>
        <w:spacing w:line="576" w:lineRule="exact"/>
        <w:ind w:firstLine="589" w:firstLineChars="190"/>
        <w:rPr>
          <w:rFonts w:hint="eastAsia" w:ascii="仿宋" w:hAnsi="仿宋" w:eastAsia="仿宋" w:cs="仿宋"/>
          <w:bCs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八</w:t>
      </w:r>
      <w:r>
        <w:rPr>
          <w:rFonts w:hint="eastAsia" w:ascii="仿宋" w:hAnsi="仿宋" w:eastAsia="仿宋" w:cs="仿宋"/>
          <w:sz w:val="31"/>
          <w:szCs w:val="31"/>
        </w:rPr>
        <w:t>）维护安全稳定。</w:t>
      </w:r>
      <w:r>
        <w:rPr>
          <w:rFonts w:hint="eastAsia" w:ascii="仿宋" w:hAnsi="仿宋" w:eastAsia="仿宋" w:cs="仿宋"/>
          <w:bCs/>
          <w:sz w:val="31"/>
          <w:szCs w:val="31"/>
        </w:rPr>
        <w:t>负责辖区平安建设、综合治理、</w:t>
      </w:r>
      <w:r>
        <w:rPr>
          <w:rFonts w:hint="eastAsia" w:ascii="仿宋" w:hAnsi="仿宋" w:eastAsia="仿宋" w:cs="仿宋"/>
          <w:bCs/>
          <w:sz w:val="31"/>
          <w:szCs w:val="31"/>
          <w:lang w:eastAsia="zh-CN"/>
        </w:rPr>
        <w:t>应急管理、</w:t>
      </w:r>
      <w:r>
        <w:rPr>
          <w:rFonts w:hint="eastAsia" w:ascii="仿宋" w:hAnsi="仿宋" w:eastAsia="仿宋" w:cs="仿宋"/>
          <w:bCs/>
          <w:sz w:val="31"/>
          <w:szCs w:val="31"/>
        </w:rPr>
        <w:t>安全生产管理等工作。处理群众来信来访，反映社情民意，有效化解各类矛盾纠纷。坚持重心下移、力量下沉、保障下倾，实现辖区安全监管执法和综合治理网格化、一体化，提高公共安全体系精细化水平。</w:t>
      </w:r>
    </w:p>
    <w:p>
      <w:pPr>
        <w:spacing w:line="560" w:lineRule="exact"/>
        <w:ind w:firstLine="589" w:firstLineChars="19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（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九</w:t>
      </w:r>
      <w:r>
        <w:rPr>
          <w:rFonts w:hint="eastAsia" w:ascii="仿宋" w:hAnsi="仿宋" w:eastAsia="仿宋" w:cs="仿宋"/>
          <w:sz w:val="31"/>
          <w:szCs w:val="31"/>
        </w:rPr>
        <w:t>）深化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“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放管服”改革和</w:t>
      </w:r>
      <w:r>
        <w:rPr>
          <w:rFonts w:hint="eastAsia" w:ascii="仿宋" w:hAnsi="仿宋" w:eastAsia="仿宋" w:cs="仿宋"/>
          <w:sz w:val="31"/>
          <w:szCs w:val="31"/>
        </w:rPr>
        <w:t>“只跑一次”改革。</w:t>
      </w:r>
      <w:r>
        <w:rPr>
          <w:rFonts w:hint="eastAsia" w:ascii="仿宋" w:hAnsi="仿宋" w:eastAsia="仿宋" w:cs="仿宋"/>
          <w:bCs/>
          <w:sz w:val="31"/>
          <w:szCs w:val="31"/>
        </w:rPr>
        <w:t>依托街道便民服务平台，推进审批服务事项向便民服务中心集中，保障便民服务中心的审批服务事项到位、权限到位。推进街道便民服务平台标准化建设，加快实现政务服务马上办、网上办、就近办、一次办，提升政务服务质量。</w:t>
      </w:r>
    </w:p>
    <w:p>
      <w:pPr>
        <w:spacing w:before="25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二、机构设置及部门决算单位构成</w:t>
      </w:r>
    </w:p>
    <w:p>
      <w:pPr>
        <w:spacing w:line="560" w:lineRule="exact"/>
        <w:ind w:firstLine="589" w:firstLineChars="19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德惠市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惠发街道办事处</w:t>
      </w:r>
      <w:r>
        <w:rPr>
          <w:rFonts w:hint="eastAsia" w:ascii="仿宋" w:hAnsi="仿宋" w:eastAsia="仿宋" w:cs="仿宋"/>
          <w:sz w:val="31"/>
          <w:szCs w:val="31"/>
        </w:rPr>
        <w:t>内设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下列综合性办事机构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综合办公室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2、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党建工作办公室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3、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社会事务办公室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4、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平安建设办公室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5、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农业农村办公室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6、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综合行政执法办公室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7、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财政经济办公室。</w:t>
      </w:r>
      <w:bookmarkStart w:id="27" w:name="_GoBack"/>
      <w:bookmarkEnd w:id="27"/>
    </w:p>
    <w:p>
      <w:pPr>
        <w:spacing w:line="560" w:lineRule="exact"/>
        <w:ind w:firstLine="589" w:firstLineChars="19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下设2家预算单位，分别是德惠市惠发街道办事处、德惠市惠发街道综合服务中心。</w:t>
      </w:r>
    </w:p>
    <w:p>
      <w:pPr>
        <w:spacing w:line="560" w:lineRule="exact"/>
        <w:ind w:firstLine="589" w:firstLineChars="19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纳入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德惠市惠发街道办事处</w:t>
      </w:r>
      <w:r>
        <w:rPr>
          <w:rFonts w:hint="eastAsia" w:ascii="仿宋" w:hAnsi="仿宋" w:eastAsia="仿宋" w:cs="仿宋"/>
          <w:sz w:val="31"/>
          <w:szCs w:val="31"/>
        </w:rPr>
        <w:t>2023年度部门决算编制范 围的单位包括：1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德惠市惠发街道办事处2、德惠市惠发街道综合服务中心。</w:t>
      </w:r>
    </w:p>
    <w:p>
      <w:pPr>
        <w:spacing w:line="560" w:lineRule="exact"/>
        <w:ind w:firstLine="589" w:firstLineChars="190"/>
        <w:rPr>
          <w:rFonts w:hint="eastAsia" w:ascii="仿宋" w:hAnsi="仿宋" w:eastAsia="仿宋" w:cs="仿宋"/>
          <w:sz w:val="31"/>
          <w:szCs w:val="31"/>
        </w:rPr>
      </w:pPr>
    </w:p>
    <w:p>
      <w:pPr>
        <w:spacing w:line="560" w:lineRule="exact"/>
        <w:ind w:firstLine="608" w:firstLineChars="19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08" w:firstLineChars="19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08" w:firstLineChars="19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before="189" w:line="186" w:lineRule="auto"/>
        <w:ind w:left="114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z w:val="44"/>
          <w:szCs w:val="44"/>
        </w:rPr>
        <w:t>第二部分</w:t>
      </w:r>
      <w:r>
        <w:rPr>
          <w:rFonts w:ascii="微软雅黑" w:hAnsi="微软雅黑" w:eastAsia="微软雅黑" w:cs="微软雅黑"/>
          <w:spacing w:val="111"/>
          <w:sz w:val="44"/>
          <w:szCs w:val="44"/>
        </w:rPr>
        <w:t xml:space="preserve"> </w:t>
      </w:r>
      <w:r>
        <w:rPr>
          <w:rFonts w:ascii="宋体" w:hAnsi="宋体" w:eastAsia="宋体" w:cs="宋体"/>
          <w:sz w:val="43"/>
          <w:szCs w:val="43"/>
        </w:rPr>
        <w:t>2023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年度部门决算表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一、收入支出决算总表</w:t>
      </w:r>
    </w:p>
    <w:p>
      <w:pPr>
        <w:spacing w:before="101" w:line="5918" w:lineRule="exact"/>
        <w:ind w:firstLine="194"/>
      </w:pPr>
      <w:r>
        <w:drawing>
          <wp:inline distT="0" distB="0" distL="114300" distR="114300">
            <wp:extent cx="5285105" cy="3149600"/>
            <wp:effectExtent l="0" t="0" r="10795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7" w:lineRule="auto"/>
      </w:pPr>
    </w:p>
    <w:p>
      <w:pPr>
        <w:pStyle w:val="2"/>
        <w:spacing w:line="338" w:lineRule="auto"/>
      </w:pP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39"/>
          <w:pgMar w:top="1431" w:right="1785" w:bottom="1150" w:left="1785" w:header="0" w:footer="965" w:gutter="0"/>
          <w:pgNumType w:fmt="decimal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二、收入决算表</w:t>
      </w:r>
    </w:p>
    <w:p>
      <w:pPr>
        <w:pStyle w:val="2"/>
        <w:spacing w:line="261" w:lineRule="auto"/>
      </w:pPr>
      <w:r>
        <w:drawing>
          <wp:inline distT="0" distB="0" distL="114300" distR="114300">
            <wp:extent cx="5292725" cy="7553325"/>
            <wp:effectExtent l="0" t="0" r="317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  <w:r>
        <w:drawing>
          <wp:inline distT="0" distB="0" distL="114300" distR="114300">
            <wp:extent cx="5292725" cy="6182360"/>
            <wp:effectExtent l="0" t="0" r="3175" b="889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618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spacing w:before="101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三、支出决算表</w:t>
      </w:r>
    </w:p>
    <w:p>
      <w:pPr>
        <w:spacing w:before="101" w:line="356" w:lineRule="auto"/>
        <w:ind w:left="35" w:right="10" w:firstLine="639"/>
        <w:rPr>
          <w:rFonts w:ascii="仿宋" w:hAnsi="仿宋" w:eastAsia="仿宋" w:cs="仿宋"/>
          <w:sz w:val="31"/>
          <w:szCs w:val="31"/>
        </w:rPr>
      </w:pPr>
      <w:r>
        <w:drawing>
          <wp:inline distT="0" distB="0" distL="114300" distR="114300">
            <wp:extent cx="5293995" cy="5544820"/>
            <wp:effectExtent l="0" t="0" r="190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554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39"/>
          <w:pgMar w:top="1431" w:right="1785" w:bottom="1150" w:left="1785" w:header="0" w:footer="965" w:gutter="0"/>
          <w:pgNumType w:fmt="decimal"/>
          <w:cols w:space="720" w:num="1"/>
        </w:sectPr>
      </w:pP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四、财政拨款收入支出决算总表</w:t>
      </w:r>
    </w:p>
    <w:p>
      <w:pPr>
        <w:pStyle w:val="2"/>
        <w:spacing w:line="245" w:lineRule="auto"/>
      </w:pPr>
    </w:p>
    <w:p>
      <w:pPr>
        <w:pStyle w:val="2"/>
        <w:spacing w:line="273" w:lineRule="auto"/>
      </w:pPr>
      <w:r>
        <w:drawing>
          <wp:inline distT="0" distB="0" distL="114300" distR="114300">
            <wp:extent cx="5290185" cy="2720340"/>
            <wp:effectExtent l="0" t="0" r="5715" b="381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4" w:lineRule="auto"/>
      </w:pP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spacing w:before="10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五、一般公共预算财政拨款支出决算表</w:t>
      </w:r>
    </w:p>
    <w:p>
      <w:pPr>
        <w:spacing w:before="100" w:line="224" w:lineRule="auto"/>
      </w:pPr>
    </w:p>
    <w:p>
      <w:pPr>
        <w:spacing w:before="100" w:line="224" w:lineRule="auto"/>
      </w:pPr>
    </w:p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drawing>
          <wp:inline distT="0" distB="0" distL="114300" distR="114300">
            <wp:extent cx="5151755" cy="7782560"/>
            <wp:effectExtent l="0" t="0" r="10795" b="889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77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numPr>
          <w:ilvl w:val="0"/>
          <w:numId w:val="1"/>
        </w:numPr>
        <w:spacing w:before="100" w:line="224" w:lineRule="auto"/>
        <w:ind w:left="677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一般公共预算财政拨款基本支出决算明细表</w:t>
      </w:r>
    </w:p>
    <w:p>
      <w:pPr>
        <w:numPr>
          <w:ilvl w:val="0"/>
          <w:numId w:val="0"/>
        </w:numPr>
        <w:spacing w:before="100" w:line="224" w:lineRule="auto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pStyle w:val="2"/>
        <w:spacing w:line="270" w:lineRule="auto"/>
      </w:pPr>
      <w:r>
        <w:drawing>
          <wp:inline distT="0" distB="0" distL="114300" distR="114300">
            <wp:extent cx="5278755" cy="3649980"/>
            <wp:effectExtent l="0" t="0" r="1714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0" w:lineRule="auto"/>
      </w:pPr>
    </w:p>
    <w:p>
      <w:pPr>
        <w:pStyle w:val="2"/>
        <w:spacing w:line="339" w:lineRule="auto"/>
      </w:pPr>
    </w:p>
    <w:p>
      <w:pPr>
        <w:numPr>
          <w:ilvl w:val="0"/>
          <w:numId w:val="1"/>
        </w:numPr>
        <w:spacing w:before="101" w:line="224" w:lineRule="auto"/>
        <w:ind w:left="677" w:leftChars="0" w:firstLine="0" w:firstLineChars="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政府性基金预算财政拨款收入支出决算表</w:t>
      </w:r>
    </w:p>
    <w:p>
      <w:pPr>
        <w:numPr>
          <w:ilvl w:val="0"/>
          <w:numId w:val="0"/>
        </w:numPr>
        <w:spacing w:before="101" w:line="224" w:lineRule="auto"/>
        <w:ind w:left="677" w:leftChars="0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pStyle w:val="2"/>
        <w:spacing w:line="340" w:lineRule="auto"/>
      </w:pPr>
      <w:r>
        <w:drawing>
          <wp:inline distT="0" distB="0" distL="114300" distR="114300">
            <wp:extent cx="5291455" cy="2199005"/>
            <wp:effectExtent l="0" t="0" r="4445" b="1079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spacing w:before="101" w:line="224" w:lineRule="auto"/>
        <w:ind w:left="666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pStyle w:val="2"/>
        <w:spacing w:line="340" w:lineRule="auto"/>
      </w:pPr>
    </w:p>
    <w:p>
      <w:pPr>
        <w:spacing w:before="101" w:line="224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八、国有资本经营预算财政拨款支出决算表</w:t>
      </w:r>
    </w:p>
    <w:p>
      <w:pPr>
        <w:spacing w:before="182" w:line="4817" w:lineRule="exact"/>
        <w:ind w:firstLine="28"/>
      </w:pPr>
      <w:r>
        <w:rPr>
          <w:position w:val="-96"/>
        </w:rPr>
        <w:drawing>
          <wp:inline distT="0" distB="0" distL="0" distR="0">
            <wp:extent cx="5254625" cy="305816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5259" cy="305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1" w:line="364" w:lineRule="auto"/>
        <w:ind w:left="24" w:right="13" w:firstLine="650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注：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本单位没有</w:t>
      </w:r>
      <w:r>
        <w:rPr>
          <w:rFonts w:hint="eastAsia" w:ascii="仿宋" w:hAnsi="仿宋" w:eastAsia="仿宋" w:cs="仿宋"/>
          <w:color w:val="000000" w:themeColor="text1"/>
          <w:spacing w:val="7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国有资本经营预算财政拨款</w:t>
      </w:r>
      <w:r>
        <w:rPr>
          <w:rFonts w:ascii="仿宋" w:hAnsi="仿宋" w:eastAsia="仿宋" w:cs="仿宋"/>
          <w:b w:val="0"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39" w:lineRule="auto"/>
      </w:pPr>
    </w:p>
    <w:p>
      <w:pPr>
        <w:pStyle w:val="2"/>
        <w:spacing w:line="340" w:lineRule="auto"/>
      </w:pPr>
    </w:p>
    <w:p>
      <w:pPr>
        <w:spacing w:before="101" w:line="22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九、财政拨款“三公”经费支出决算表</w:t>
      </w:r>
    </w:p>
    <w:p>
      <w:pPr>
        <w:spacing w:before="96" w:line="5302" w:lineRule="exact"/>
        <w:ind w:firstLine="237"/>
      </w:pPr>
      <w:r>
        <w:drawing>
          <wp:inline distT="0" distB="0" distL="114300" distR="114300">
            <wp:extent cx="5287010" cy="1938020"/>
            <wp:effectExtent l="0" t="0" r="889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0" w:line="224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十、部门预算项目支出绩效自评表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line="9847" w:lineRule="exact"/>
        <w:ind w:firstLine="297"/>
      </w:pPr>
      <w:r>
        <w:rPr>
          <w:position w:val="-196"/>
        </w:rPr>
        <w:drawing>
          <wp:inline distT="0" distB="0" distL="0" distR="0">
            <wp:extent cx="4912995" cy="625221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13629" cy="625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847" w:lineRule="exact"/>
        <w:sectPr>
          <w:footerReference r:id="rId9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spacing w:before="225" w:line="443" w:lineRule="exact"/>
        <w:ind w:left="482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第三部分</w:t>
      </w:r>
      <w:r>
        <w:rPr>
          <w:rFonts w:ascii="微软雅黑" w:hAnsi="微软雅黑" w:eastAsia="微软雅黑" w:cs="微软雅黑"/>
          <w:spacing w:val="103"/>
          <w:position w:val="-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5"/>
          <w:position w:val="-2"/>
          <w:sz w:val="43"/>
          <w:szCs w:val="43"/>
        </w:rPr>
        <w:t>2023年度部门决算情况说明</w:t>
      </w:r>
    </w:p>
    <w:p>
      <w:pPr>
        <w:pStyle w:val="2"/>
        <w:spacing w:line="314" w:lineRule="auto"/>
      </w:pP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spacing w:before="101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一、收入支出决算总体情况说明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2023</w:t>
      </w:r>
      <w:r>
        <w:rPr>
          <w:rFonts w:hint="eastAsia"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年度收、支总计均为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7006.71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7001.47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万元。与</w:t>
      </w:r>
      <w:r>
        <w:rPr>
          <w:rFonts w:hint="eastAsia"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2022</w:t>
      </w:r>
      <w:r>
        <w:rPr>
          <w:rFonts w:hint="eastAsia"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年度相比，</w:t>
      </w:r>
      <w:r>
        <w:rPr>
          <w:rFonts w:hint="eastAsia"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收、支总计各减少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673.76、760.26</w:t>
      </w:r>
      <w:r>
        <w:rPr>
          <w:rFonts w:hint="eastAsia" w:ascii="仿宋" w:hAnsi="仿宋" w:eastAsia="仿宋" w:cs="仿宋"/>
          <w:spacing w:val="32"/>
          <w:sz w:val="31"/>
          <w:szCs w:val="31"/>
        </w:rPr>
        <w:t xml:space="preserve">  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0.09</w:t>
      </w:r>
      <w:r>
        <w:rPr>
          <w:rFonts w:hint="eastAsia"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%。主</w:t>
      </w:r>
      <w:r>
        <w:rPr>
          <w:rFonts w:hint="eastAsia" w:ascii="仿宋" w:hAnsi="仿宋" w:eastAsia="仿宋" w:cs="仿宋"/>
          <w:spacing w:val="-10"/>
          <w:sz w:val="31"/>
          <w:szCs w:val="31"/>
        </w:rPr>
        <w:t>要原因：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压减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各项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经费，工程项目减少。</w:t>
      </w:r>
    </w:p>
    <w:p>
      <w:pPr>
        <w:spacing w:before="50" w:line="224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</w:rPr>
        <w:t>本年收入合计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7006.71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万元，其中：财政拨款收入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7006.71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万元， 比减少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673.76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0.09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%，主要是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本年度压减；</w:t>
      </w:r>
    </w:p>
    <w:p>
      <w:pPr>
        <w:spacing w:before="158" w:line="224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spacing w:before="248" w:line="362" w:lineRule="auto"/>
        <w:ind w:left="36" w:right="113" w:firstLine="634"/>
      </w:pP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本年支出合计 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7001.47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万元，其中：基本支出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1335.09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万元， 比上年减少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911.56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万元，下降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59</w:t>
      </w:r>
      <w:r>
        <w:rPr>
          <w:rFonts w:hint="eastAsia" w:ascii="仿宋" w:hAnsi="仿宋" w:eastAsia="仿宋" w:cs="仿宋"/>
          <w:spacing w:val="4"/>
          <w:sz w:val="31"/>
          <w:szCs w:val="31"/>
        </w:rPr>
        <w:t>%，主要是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基本支出人员经费及公用经费减少</w:t>
      </w:r>
      <w:r>
        <w:rPr>
          <w:rFonts w:hint="eastAsia" w:ascii="仿宋" w:hAnsi="仿宋" w:eastAsia="仿宋" w:cs="仿宋"/>
          <w:spacing w:val="4"/>
          <w:sz w:val="31"/>
          <w:szCs w:val="31"/>
        </w:rPr>
        <w:t>；项目支出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5666.38</w:t>
      </w:r>
      <w:r>
        <w:rPr>
          <w:rFonts w:hint="eastAsia" w:ascii="仿宋" w:hAnsi="仿宋" w:eastAsia="仿宋" w:cs="仿宋"/>
          <w:spacing w:val="4"/>
          <w:sz w:val="31"/>
          <w:szCs w:val="31"/>
        </w:rPr>
        <w:t>万元， 比上年增加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151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万元，增长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0.03</w:t>
      </w:r>
      <w:r>
        <w:rPr>
          <w:rFonts w:hint="eastAsia" w:ascii="仿宋" w:hAnsi="仿宋" w:eastAsia="仿宋" w:cs="仿宋"/>
          <w:spacing w:val="4"/>
          <w:sz w:val="31"/>
          <w:szCs w:val="31"/>
        </w:rPr>
        <w:t xml:space="preserve"> %，主要是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本年度项目支出增加</w:t>
      </w:r>
      <w:r>
        <w:rPr>
          <w:rFonts w:hint="eastAsia"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01" w:line="224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 年度财政拨款收、支总计均为 7006.71 、7001.47 万元，与 2022 年相比，财政拨款收、支总计各减少673.76、</w:t>
      </w:r>
      <w:bookmarkStart w:id="0" w:name="OLE_LINK1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760.26</w:t>
      </w:r>
      <w:bookmarkEnd w:id="0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万元，降低0.09 %。主要原因 :</w:t>
      </w:r>
      <w:bookmarkStart w:id="1" w:name="OLE_LINK2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压减各项经费，工程项目减少</w:t>
      </w:r>
      <w:bookmarkEnd w:id="1"/>
      <w:bookmarkStart w:id="2" w:name="OLE_LINK3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。</w:t>
      </w:r>
      <w:bookmarkEnd w:id="2"/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spacing w:before="101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248" w:line="223" w:lineRule="auto"/>
        <w:ind w:left="662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一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）一般公共预算财政拨款支出决算总体情况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 年度一般公共预算财政拨款支出7001.47万元，占本年支出合计的100%。与2022年度相比，一般公共预算财政拨款支出减少760.26万元，降低0.09%。主要原因：  压减各项经费，工程项目减少。</w:t>
      </w:r>
    </w:p>
    <w:p>
      <w:pPr>
        <w:spacing w:before="51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一般公共预算财政拨款支出决算结构情况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 年度一般公共预算财政拨款支出 7001.47 万元，主要用于以下方面：一般公共服务（类）支出 1314.51万元，占18.77 %；</w:t>
      </w:r>
      <w:bookmarkStart w:id="3" w:name="OLE_LINK4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文化旅游体育与传媒 （类）支出 3.75万元，占 0.05%；社会保障和就业（类）支出 138.24万元，占1.97%；卫生健康（类）支出69.39万元，占0.99%；节能环保支出（类）支出28.81万元，占0.41%；城乡社区支出4885.21万元,占69.77%；农林水支出339.81万元,占4.85%；交通运输支出100.92万元,占1.44%；住房保障支出84.31万元,占1.20%；灾害防治及应急管理支出8万元，占0.11%；其他支出28.51万元,占0.44%。</w:t>
      </w:r>
    </w:p>
    <w:bookmarkEnd w:id="3"/>
    <w:p>
      <w:pPr>
        <w:spacing w:before="52" w:line="223" w:lineRule="auto"/>
        <w:ind w:left="659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一般公共预算财政拨款支出决算具体情况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 年度一般公共预算财政拨款支出年初预算为7019.30万元，支出决算为7006.71万元，完成年初预算的 99.82 %。其中：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1.一般公共服务（类） 财政事务（款） 行政运行（项） 。 年初预算为1320万元， 支出决算为1314.51万元， 完成年初预算的99.58%。决算数小于预算数的主要原因是本年度压减经费支出。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2.</w:t>
      </w:r>
      <w:bookmarkStart w:id="4" w:name="OLE_LINK5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文化旅游体育与传媒 （类）支出 。 </w:t>
      </w:r>
      <w:bookmarkStart w:id="5" w:name="OLE_LINK6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年初预算为3.80万元，支出决算为3.75万元，完成年初预算的98.68%。决算数小于预算数的主要原因是本年度压减经费支出</w:t>
      </w:r>
      <w:bookmarkEnd w:id="4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。</w:t>
      </w:r>
      <w:bookmarkEnd w:id="5"/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3.社会保障和就业（类）支出。 </w:t>
      </w:r>
      <w:bookmarkStart w:id="6" w:name="OLE_LINK7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年初预算为139万元，支出决算为138.24万元，完成年初预算的99.45%。决算数小于预算数的主要原因是本年度压减经费支出。</w:t>
      </w:r>
    </w:p>
    <w:bookmarkEnd w:id="6"/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4.卫生健康（类）支出。年初预算为70万元，支出决算为69.39万元，完成年初预算的99.12%。决算数小于预算数的主要原因是本年度压减经费支出。</w:t>
      </w:r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5.节能环保支出（类）支出。</w:t>
      </w:r>
      <w:bookmarkStart w:id="7" w:name="OLE_LINK9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年初预算为28.9万元，支出决算为28.81万元，完成年初预算的99.69%。决算数小于预算数的主要原因是本年度压减经费支出</w:t>
      </w:r>
      <w:bookmarkStart w:id="8" w:name="OLE_LINK8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。</w:t>
      </w:r>
      <w:bookmarkEnd w:id="8"/>
    </w:p>
    <w:bookmarkEnd w:id="7"/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6.城乡社区支出。</w:t>
      </w:r>
      <w:bookmarkStart w:id="9" w:name="OLE_LINK10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年初预算为4895万元，支出决算为4885.21万元，完成年初预算的99.80%。决算数小于预算数的主要原因是本年度压减经费支出。</w:t>
      </w:r>
    </w:p>
    <w:bookmarkEnd w:id="9"/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7.农林水支出。</w:t>
      </w:r>
      <w:bookmarkStart w:id="10" w:name="OLE_LINK12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年初预算为340万元，支出决算339.81万元，完成年初预算的99.94%。决算数小于预算数的主要原因是本年度压减经费支出</w:t>
      </w:r>
      <w:bookmarkStart w:id="11" w:name="OLE_LINK11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。</w:t>
      </w:r>
      <w:bookmarkEnd w:id="11"/>
    </w:p>
    <w:bookmarkEnd w:id="10"/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8.交通运输支出。年初预算为101万元，支出决算100.92万元，完成年初预算的99.92%。决算数小于预算数的主要原因是本年度压减经费支出</w:t>
      </w:r>
      <w:bookmarkStart w:id="12" w:name="OLE_LINK13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。</w:t>
      </w:r>
      <w:bookmarkEnd w:id="12"/>
    </w:p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9.住房保障支出。</w:t>
      </w:r>
      <w:bookmarkStart w:id="13" w:name="OLE_LINK14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年初预算为85万元，支出决算84.31万元，完成年初预算的99.19%。决算数小于预算数的主要原因是本年度压减经费支出。</w:t>
      </w:r>
    </w:p>
    <w:bookmarkEnd w:id="13"/>
    <w:p>
      <w:pPr>
        <w:spacing w:before="248" w:line="362" w:lineRule="auto"/>
        <w:ind w:left="36" w:right="113" w:firstLine="634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10.灾害防治及应急管理支出。</w:t>
      </w:r>
      <w:bookmarkStart w:id="14" w:name="OLE_LINK16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年初预算为8万元，支出决算8万元，完成年初预算的100%。决算数等于预算数的主要原因是本年度支出等于收入。</w:t>
      </w:r>
    </w:p>
    <w:bookmarkEnd w:id="14"/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11.其他支出。年初预算为28.6万元，支出决算28.51万元，完成年初预算的99.69%。决算数等于预算数的主要原因是本年度支</w:t>
      </w:r>
    </w:p>
    <w:p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 年度一般公共预算财政拨款基本支出1335.09  万元，其中：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人员经费1174.25万元，主要包括：基本工资545.17万元、津贴补贴117.51万元、奖 金52.13万元、绩效工资174.97万元、机关事业单位基本养老保险缴费112.41万元、职工基本医疗保险缴费55.57万元、其他社会保障缴费5.15万元、住房公积金84.31万元、抚恤金24.03万元、生 活补助2.91万元、奖励金0.08万元。公用经费160.84万元，主要包括：办公费31.21万元、印刷费9.96万元、咨询费3万元、 手续费0.01万元、电费2.80万元、差旅费3.96万元、租赁费19.91万元、劳务费10万元、委托业务费39万元、公务用车运行维护费6万元、其他交通费用17.54万元、其他商品和服务支出17.30万元。</w:t>
      </w:r>
    </w:p>
    <w:p>
      <w:pPr>
        <w:pStyle w:val="2"/>
        <w:spacing w:line="256" w:lineRule="auto"/>
      </w:pPr>
    </w:p>
    <w:p>
      <w:pPr>
        <w:spacing w:before="101" w:line="224" w:lineRule="auto"/>
        <w:ind w:left="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</w:t>
      </w:r>
      <w:r>
        <w:rPr>
          <w:rFonts w:ascii="黑体" w:hAnsi="黑体" w:eastAsia="黑体" w:cs="黑体"/>
          <w:spacing w:val="8"/>
          <w:sz w:val="31"/>
          <w:szCs w:val="31"/>
        </w:rPr>
        <w:t>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2023年度</w:t>
      </w:r>
      <w:bookmarkStart w:id="15" w:name="OLE_LINK15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政府性基金预算财政拨款</w:t>
      </w:r>
      <w:bookmarkEnd w:id="15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年初结转和结余0  万元；本年收入 4720.57万元，比上年增加3882.51万元，增长463.27 %，主要是</w:t>
      </w:r>
      <w:bookmarkStart w:id="16" w:name="OLE_LINK17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由于机构改革本年度政府性基金预算财政拨款收入增加</w:t>
      </w:r>
      <w:bookmarkEnd w:id="16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；本年支出4720.57万元， 比上年增加3882.51万元，增长463.27%，主要是政府性基金预算财政拨款支出增加。支出具体情况如下： 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（一）</w:t>
      </w:r>
      <w:bookmarkStart w:id="17" w:name="OLE_LINK18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城乡社区支出</w:t>
      </w:r>
      <w:bookmarkEnd w:id="17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，</w:t>
      </w:r>
      <w:bookmarkStart w:id="18" w:name="OLE_LINK19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政府性基金财政拨款支出为4692.06万元，主要用于城乡社区建设支出。</w:t>
      </w:r>
    </w:p>
    <w:bookmarkEnd w:id="18"/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（二）其他支出，</w:t>
      </w:r>
      <w:bookmarkStart w:id="19" w:name="OLE_LINK20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政府性基金财政拨款支</w:t>
      </w:r>
      <w:bookmarkEnd w:id="19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出为28.51万元，主要用于其他政府性基金财政拨款支出。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1.城乡社区支出。国有土地使用权出让收入安排的支出，征地和拆迁补偿支出，</w:t>
      </w:r>
      <w:bookmarkStart w:id="20" w:name="OLE_LINK25"/>
      <w:bookmarkStart w:id="21" w:name="OLE_LINK21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政府性基金财政拨款</w:t>
      </w:r>
      <w:bookmarkEnd w:id="20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支出为4640.96万元，主要用于征地和拆迁补偿支出</w:t>
      </w:r>
      <w:bookmarkEnd w:id="21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，完成年初预算的98%,</w:t>
      </w:r>
      <w:bookmarkStart w:id="22" w:name="OLE_LINK22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农村基础设施建设支出</w:t>
      </w:r>
      <w:bookmarkEnd w:id="22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，政府性基金财政拨款支出为51.10万元，主要用于农村基础设施建设支出，完成年初预算的1.08%,</w:t>
      </w:r>
      <w:bookmarkStart w:id="23" w:name="OLE_LINK24"/>
      <w:bookmarkStart w:id="24" w:name="OLE_LINK23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完成年初预算的1.08%,</w:t>
      </w:r>
      <w:bookmarkEnd w:id="23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决算数小于预算数的主要原因是</w:t>
      </w:r>
      <w:bookmarkStart w:id="25" w:name="OLE_LINK26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政府性基金财政拨款预算计算过大</w:t>
      </w:r>
      <w:bookmarkEnd w:id="25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。</w:t>
      </w:r>
      <w:bookmarkEnd w:id="24"/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.其他支出。彩票公益金安排的支出，用于体育事业的彩票公益金支出，政府性基金财政拨款支出为28.51万元，主要用于用于体育事业的彩票公益金支出。完成年初预算的0.60%,决算数大于预算数的主要原因是政府性基金财政拨款预算计算过大。</w:t>
      </w:r>
    </w:p>
    <w:p>
      <w:pPr>
        <w:spacing w:before="158" w:line="224" w:lineRule="auto"/>
        <w:ind w:left="7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八、国有资本经营预算财政拨款支出决算情况说明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本单位没有国有资本经营预算财政拨款。</w:t>
      </w:r>
    </w:p>
    <w:p>
      <w:pPr>
        <w:spacing w:line="223" w:lineRule="auto"/>
        <w:ind w:firstLine="652" w:firstLineChars="200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九、财政拨款“三公”经费支出决算情况说明</w:t>
      </w:r>
    </w:p>
    <w:p>
      <w:pPr>
        <w:spacing w:before="248" w:line="357" w:lineRule="auto"/>
        <w:ind w:right="86" w:firstLine="636" w:firstLineChars="200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“三公”经费财政拨款支出决算总体情况说明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（一）2023 年度“三公”经费财政拨款支出6万元，支出决算为5.99万元，完成预算的99%；较 2022 年度减少 12.01万元，主要原因是开发区机构改革分为两个单位。决算数基本等于预算数。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（二）“三公”经费财政拨款支出决算具体情况说明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bookmarkStart w:id="26" w:name="OLE_LINK28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公务用车运行维护费支出</w:t>
      </w:r>
      <w:bookmarkEnd w:id="26"/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5.99万元，主要是公务用车运行维护费支出。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本单位无</w:t>
      </w:r>
      <w:r>
        <w:rPr>
          <w:rFonts w:ascii="仿宋" w:hAnsi="仿宋" w:eastAsia="仿宋" w:cs="仿宋"/>
          <w:spacing w:val="3"/>
          <w:sz w:val="31"/>
          <w:szCs w:val="31"/>
        </w:rPr>
        <w:t>因公出国（境）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和公务接待支出。</w:t>
      </w:r>
    </w:p>
    <w:p>
      <w:pPr>
        <w:spacing w:before="101" w:line="224" w:lineRule="auto"/>
        <w:ind w:left="750"/>
        <w:outlineLvl w:val="3"/>
        <w:rPr>
          <w:rFonts w:ascii="黑体" w:hAnsi="黑体" w:eastAsia="黑体" w:cs="黑体"/>
          <w:spacing w:val="6"/>
          <w:sz w:val="31"/>
          <w:szCs w:val="31"/>
        </w:rPr>
      </w:pPr>
    </w:p>
    <w:p>
      <w:pPr>
        <w:spacing w:before="101" w:line="224" w:lineRule="auto"/>
        <w:ind w:left="750"/>
        <w:outlineLvl w:val="3"/>
        <w:rPr>
          <w:rFonts w:ascii="黑体" w:hAnsi="黑体" w:eastAsia="黑体" w:cs="黑体"/>
          <w:spacing w:val="6"/>
          <w:sz w:val="31"/>
          <w:szCs w:val="31"/>
        </w:rPr>
      </w:pPr>
    </w:p>
    <w:p>
      <w:pPr>
        <w:spacing w:before="101" w:line="224" w:lineRule="auto"/>
        <w:ind w:left="750"/>
        <w:outlineLvl w:val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十、关于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2023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年度绩效评价情况说明</w:t>
      </w:r>
    </w:p>
    <w:p>
      <w:pPr>
        <w:pStyle w:val="2"/>
        <w:spacing w:line="339" w:lineRule="auto"/>
      </w:pPr>
    </w:p>
    <w:p>
      <w:pPr>
        <w:pStyle w:val="2"/>
        <w:spacing w:line="339" w:lineRule="auto"/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本单位 2023 年度无绩效评价项目</w:t>
      </w:r>
    </w:p>
    <w:p>
      <w:pPr>
        <w:spacing w:before="100" w:line="22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十一、其他重要事项情况说明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（一）机关运行经费执行情况说明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2023年度机关运行经费支出1057.42万元，较2022年度增加353.48 万元，增长33.4 %，主要是 人员增加，调整项目支出。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（二）政府采购支出情况说明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2023 年度政府采购支出总额2559.88万元，其中：政府采购货 物支出37.28万元、政府采购工程支出2522.60万元。 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（三）国有资产占用情况说明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截至 2023 年 12 月 31 日，德惠市惠发街道办事处共有 车辆 4 辆，其中其他用车 4 辆，其他用车主要是土地监察，安监等部门使用。</w:t>
      </w:r>
    </w:p>
    <w:p>
      <w:pPr>
        <w:spacing w:before="248" w:line="357" w:lineRule="auto"/>
        <w:ind w:left="38" w:right="86" w:firstLine="633"/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sectPr>
          <w:footerReference r:id="rId10" w:type="default"/>
          <w:pgSz w:w="11907" w:h="16839"/>
          <w:pgMar w:top="1431" w:right="1774" w:bottom="1153" w:left="1785" w:header="0" w:footer="965" w:gutter="0"/>
          <w:pgNumType w:fmt="decimal"/>
          <w:cols w:space="720" w:num="1"/>
        </w:sectPr>
      </w:pPr>
    </w:p>
    <w:p>
      <w:pPr>
        <w:spacing w:before="225" w:line="443" w:lineRule="exact"/>
        <w:ind w:left="218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第四部分</w:t>
      </w:r>
      <w:r>
        <w:rPr>
          <w:rFonts w:ascii="微软雅黑" w:hAnsi="微软雅黑" w:eastAsia="微软雅黑" w:cs="微软雅黑"/>
          <w:spacing w:val="24"/>
          <w:position w:val="-2"/>
          <w:sz w:val="44"/>
          <w:szCs w:val="44"/>
        </w:rPr>
        <w:t xml:space="preserve">   </w:t>
      </w:r>
      <w:r>
        <w:rPr>
          <w:rFonts w:ascii="微软雅黑" w:hAnsi="微软雅黑" w:eastAsia="微软雅黑" w:cs="微软雅黑"/>
          <w:spacing w:val="-4"/>
          <w:position w:val="-2"/>
          <w:sz w:val="44"/>
          <w:szCs w:val="44"/>
        </w:rPr>
        <w:t>名词解释</w:t>
      </w: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00" w:line="297" w:lineRule="auto"/>
        <w:ind w:left="39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一、财政拨款收入：</w:t>
      </w:r>
      <w:r>
        <w:rPr>
          <w:rFonts w:ascii="仿宋" w:hAnsi="仿宋" w:eastAsia="仿宋" w:cs="仿宋"/>
          <w:spacing w:val="6"/>
          <w:sz w:val="31"/>
          <w:szCs w:val="31"/>
        </w:rPr>
        <w:t>指单位从同级财政部门取得的财政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预算资金。</w:t>
      </w:r>
    </w:p>
    <w:p>
      <w:pPr>
        <w:spacing w:before="250" w:line="297" w:lineRule="auto"/>
        <w:ind w:left="30" w:right="1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二、上级补助收入：</w:t>
      </w:r>
      <w:r>
        <w:rPr>
          <w:rFonts w:ascii="仿宋" w:hAnsi="仿宋" w:eastAsia="仿宋" w:cs="仿宋"/>
          <w:spacing w:val="6"/>
          <w:sz w:val="31"/>
          <w:szCs w:val="31"/>
        </w:rPr>
        <w:t>指从主管部门和上级单位取得的非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财政补助收入。</w:t>
      </w:r>
    </w:p>
    <w:p>
      <w:pPr>
        <w:spacing w:before="249" w:line="298" w:lineRule="auto"/>
        <w:ind w:left="44" w:right="18" w:firstLine="649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动取得的收入。</w:t>
      </w:r>
    </w:p>
    <w:p>
      <w:pPr>
        <w:spacing w:before="249" w:line="297" w:lineRule="auto"/>
        <w:ind w:left="44" w:right="1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四、经营收入：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指事业单位在专业业务活动及其辅助活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动之外开展非独立核算经营活动取得的收入。</w:t>
      </w:r>
    </w:p>
    <w:p>
      <w:pPr>
        <w:spacing w:before="249" w:line="298" w:lineRule="auto"/>
        <w:ind w:left="28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五、附属单位上缴收入：</w:t>
      </w:r>
      <w:r>
        <w:rPr>
          <w:rFonts w:ascii="仿宋" w:hAnsi="仿宋" w:eastAsia="仿宋" w:cs="仿宋"/>
          <w:spacing w:val="6"/>
          <w:sz w:val="31"/>
          <w:szCs w:val="31"/>
        </w:rPr>
        <w:t>指事业单位附属独立核算单位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按照有关规定上缴的收入。</w:t>
      </w:r>
    </w:p>
    <w:p>
      <w:pPr>
        <w:spacing w:before="246" w:line="347" w:lineRule="auto"/>
        <w:ind w:left="29" w:righ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六、其他收入：</w:t>
      </w:r>
      <w:r>
        <w:rPr>
          <w:rFonts w:ascii="仿宋" w:hAnsi="仿宋" w:eastAsia="仿宋" w:cs="仿宋"/>
          <w:spacing w:val="7"/>
          <w:sz w:val="31"/>
          <w:szCs w:val="31"/>
        </w:rPr>
        <w:t>指除上述收入以外的各项收入。包括未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纳入财政预算或财政专户管理的投资收益、银</w:t>
      </w:r>
      <w:r>
        <w:rPr>
          <w:rFonts w:ascii="仿宋" w:hAnsi="仿宋" w:eastAsia="仿宋" w:cs="仿宋"/>
          <w:spacing w:val="8"/>
          <w:sz w:val="31"/>
          <w:szCs w:val="31"/>
        </w:rPr>
        <w:t>行存款利息收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入、租金收入、捐赠收入，现金盘盈收入、存货</w:t>
      </w:r>
      <w:r>
        <w:rPr>
          <w:rFonts w:ascii="仿宋" w:hAnsi="仿宋" w:eastAsia="仿宋" w:cs="仿宋"/>
          <w:spacing w:val="8"/>
          <w:sz w:val="31"/>
          <w:szCs w:val="31"/>
        </w:rPr>
        <w:t>盘盈收入、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收回已核销应收及预付款项、无法偿付的应付及</w:t>
      </w:r>
      <w:r>
        <w:rPr>
          <w:rFonts w:ascii="仿宋" w:hAnsi="仿宋" w:eastAsia="仿宋" w:cs="仿宋"/>
          <w:spacing w:val="8"/>
          <w:sz w:val="31"/>
          <w:szCs w:val="31"/>
        </w:rPr>
        <w:t>预收款项，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从省财政以外的同级单位取得的经费、从非省</w:t>
      </w:r>
      <w:r>
        <w:rPr>
          <w:rFonts w:ascii="仿宋" w:hAnsi="仿宋" w:eastAsia="仿宋" w:cs="仿宋"/>
          <w:spacing w:val="8"/>
          <w:sz w:val="31"/>
          <w:szCs w:val="31"/>
        </w:rPr>
        <w:t>财政取得的经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费，以及行政单位收到的财政专户管理资金等。</w:t>
      </w:r>
    </w:p>
    <w:p>
      <w:pPr>
        <w:spacing w:before="252" w:line="322" w:lineRule="auto"/>
        <w:ind w:left="28" w:right="1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ascii="仿宋" w:hAnsi="仿宋" w:eastAsia="仿宋" w:cs="仿宋"/>
          <w:b/>
          <w:bCs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5"/>
          <w:sz w:val="31"/>
          <w:szCs w:val="31"/>
        </w:rPr>
        <w:t>指事业单位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按照预算管理要求使用非财政拨款结余弥补收支差额的金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额，以及使用专用结余安排支出的金额。</w:t>
      </w:r>
    </w:p>
    <w:p>
      <w:pPr>
        <w:spacing w:before="249" w:line="220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八、年初结转和结余：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指单位以前年度尚未完成、结转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pgNumType w:fmt="decimal"/>
          <w:cols w:space="720" w:num="1"/>
        </w:sectPr>
      </w:pPr>
    </w:p>
    <w:p>
      <w:pPr>
        <w:spacing w:before="160" w:line="357" w:lineRule="auto"/>
        <w:ind w:left="46" w:right="189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到本年按有关规定用途继续使用的资金，或项目已完成等产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生的结余资金。</w:t>
      </w:r>
    </w:p>
    <w:p>
      <w:pPr>
        <w:spacing w:before="48" w:line="355" w:lineRule="auto"/>
        <w:ind w:left="32" w:right="155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九、结余分配：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指事业单位按照会计制度规定缴纳的所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得税、提取的专用结余以及转入非财政拨款结余的金额等。</w:t>
      </w:r>
    </w:p>
    <w:p>
      <w:pPr>
        <w:spacing w:before="54" w:line="364" w:lineRule="auto"/>
        <w:ind w:left="29" w:right="15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十、年末结转和结余：</w:t>
      </w:r>
      <w:r>
        <w:rPr>
          <w:rFonts w:ascii="仿宋" w:hAnsi="仿宋" w:eastAsia="仿宋" w:cs="仿宋"/>
          <w:spacing w:val="7"/>
          <w:sz w:val="31"/>
          <w:szCs w:val="31"/>
        </w:rPr>
        <w:t>指单位按有关规定结</w:t>
      </w:r>
      <w:r>
        <w:rPr>
          <w:rFonts w:ascii="仿宋" w:hAnsi="仿宋" w:eastAsia="仿宋" w:cs="仿宋"/>
          <w:spacing w:val="6"/>
          <w:sz w:val="31"/>
          <w:szCs w:val="31"/>
        </w:rPr>
        <w:t>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以后年度继续使用的资金，或项目已完成等产生的结余资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金。</w:t>
      </w:r>
    </w:p>
    <w:p>
      <w:pPr>
        <w:spacing w:before="39" w:line="297" w:lineRule="auto"/>
        <w:ind w:left="30" w:right="15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十一、基本支出：</w:t>
      </w:r>
      <w:r>
        <w:rPr>
          <w:rFonts w:ascii="仿宋" w:hAnsi="仿宋" w:eastAsia="仿宋" w:cs="仿宋"/>
          <w:spacing w:val="7"/>
          <w:sz w:val="31"/>
          <w:szCs w:val="31"/>
        </w:rPr>
        <w:t>指为保障机构正常运转、完成日常工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作任务而发生的人员支出和公用支出。</w:t>
      </w:r>
    </w:p>
    <w:p>
      <w:pPr>
        <w:spacing w:before="250" w:line="298" w:lineRule="auto"/>
        <w:ind w:left="33" w:right="15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十二、项目支出：</w:t>
      </w:r>
      <w:r>
        <w:rPr>
          <w:rFonts w:ascii="仿宋" w:hAnsi="仿宋" w:eastAsia="仿宋" w:cs="仿宋"/>
          <w:spacing w:val="7"/>
          <w:sz w:val="31"/>
          <w:szCs w:val="31"/>
        </w:rPr>
        <w:t>指在基本支出之外为完成特定行政任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务或事业发展目标所发生的支出。</w:t>
      </w:r>
    </w:p>
    <w:p>
      <w:pPr>
        <w:spacing w:before="249" w:line="297" w:lineRule="auto"/>
        <w:ind w:left="44" w:right="15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活动之外开展非独立核算经营活动发生的支出。</w:t>
      </w:r>
    </w:p>
    <w:p>
      <w:pPr>
        <w:spacing w:before="249" w:line="297" w:lineRule="auto"/>
        <w:ind w:left="40" w:right="15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十四、上缴上级支出：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指事业单位按照有关</w:t>
      </w:r>
      <w:r>
        <w:rPr>
          <w:rFonts w:ascii="仿宋" w:hAnsi="仿宋" w:eastAsia="仿宋" w:cs="仿宋"/>
          <w:spacing w:val="6"/>
          <w:sz w:val="31"/>
          <w:szCs w:val="31"/>
        </w:rPr>
        <w:t>规定上缴上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级单位的支出。</w:t>
      </w:r>
    </w:p>
    <w:p>
      <w:pPr>
        <w:spacing w:before="251" w:line="297" w:lineRule="auto"/>
        <w:ind w:left="29" w:right="15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十五、对附属单位补助支出：</w:t>
      </w:r>
      <w:r>
        <w:rPr>
          <w:rFonts w:ascii="仿宋" w:hAnsi="仿宋" w:eastAsia="仿宋" w:cs="仿宋"/>
          <w:spacing w:val="6"/>
          <w:sz w:val="31"/>
          <w:szCs w:val="31"/>
        </w:rPr>
        <w:t>指事业单位用财政补助收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入之外的收入对附属单位补助发生的支出。</w:t>
      </w:r>
    </w:p>
    <w:p>
      <w:pPr>
        <w:spacing w:before="252" w:line="342" w:lineRule="auto"/>
        <w:ind w:left="2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十六、“三公”经费：</w:t>
      </w:r>
      <w:r>
        <w:rPr>
          <w:rFonts w:ascii="仿宋" w:hAnsi="仿宋" w:eastAsia="仿宋" w:cs="仿宋"/>
          <w:spacing w:val="7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6"/>
          <w:sz w:val="31"/>
          <w:szCs w:val="31"/>
        </w:rPr>
        <w:t>管理的“三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公”经费，是指省级部门用财政拨款安排的因公出国（境）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费、公务用车购置及运行维护费和公务接待费。是党</w:t>
      </w:r>
      <w:r>
        <w:rPr>
          <w:rFonts w:ascii="仿宋" w:hAnsi="仿宋" w:eastAsia="仿宋" w:cs="仿宋"/>
          <w:spacing w:val="8"/>
          <w:sz w:val="31"/>
          <w:szCs w:val="31"/>
        </w:rPr>
        <w:t>政机关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维持运转或完成特定工作任务所开支的相关支出，</w:t>
      </w:r>
      <w:r>
        <w:rPr>
          <w:rFonts w:ascii="仿宋" w:hAnsi="仿宋" w:eastAsia="仿宋" w:cs="仿宋"/>
          <w:spacing w:val="8"/>
          <w:sz w:val="31"/>
          <w:szCs w:val="31"/>
        </w:rPr>
        <w:t>是政府行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2"/>
          <w:sz w:val="31"/>
          <w:szCs w:val="31"/>
        </w:rPr>
        <w:t>政开支的一部分。其中，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因公出国（境）费反映公</w:t>
      </w:r>
      <w:r>
        <w:rPr>
          <w:rFonts w:ascii="仿宋" w:hAnsi="仿宋" w:eastAsia="仿宋" w:cs="仿宋"/>
          <w:spacing w:val="-13"/>
          <w:sz w:val="31"/>
          <w:szCs w:val="31"/>
        </w:rPr>
        <w:t>务出国（境）</w:t>
      </w:r>
    </w:p>
    <w:p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7" w:h="16839"/>
          <w:pgMar w:top="1431" w:right="1646" w:bottom="1153" w:left="1785" w:header="0" w:footer="965" w:gutter="0"/>
          <w:pgNumType w:fmt="decimal"/>
          <w:cols w:space="720" w:num="1"/>
        </w:sectPr>
      </w:pPr>
    </w:p>
    <w:p>
      <w:pPr>
        <w:spacing w:before="155" w:line="366" w:lineRule="auto"/>
        <w:ind w:left="25" w:firstLine="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的国际旅费、国外城市间交通费、住宿费、伙食费、培训费、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公杂费等支出；公务用车购置及运行费反映单位公务用</w:t>
      </w:r>
      <w:r>
        <w:rPr>
          <w:rFonts w:ascii="仿宋" w:hAnsi="仿宋" w:eastAsia="仿宋" w:cs="仿宋"/>
          <w:spacing w:val="8"/>
          <w:sz w:val="31"/>
          <w:szCs w:val="31"/>
        </w:rPr>
        <w:t>车车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辆购置支出（含车辆购置税）及燃料费、维修费、过桥</w:t>
      </w:r>
      <w:r>
        <w:rPr>
          <w:rFonts w:ascii="仿宋" w:hAnsi="仿宋" w:eastAsia="仿宋" w:cs="仿宋"/>
          <w:spacing w:val="8"/>
          <w:sz w:val="31"/>
          <w:szCs w:val="31"/>
        </w:rPr>
        <w:t>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费、保险费、安全奖励费等支出；公务接待费反映单位</w:t>
      </w:r>
      <w:r>
        <w:rPr>
          <w:rFonts w:ascii="仿宋" w:hAnsi="仿宋" w:eastAsia="仿宋" w:cs="仿宋"/>
          <w:spacing w:val="8"/>
          <w:sz w:val="31"/>
          <w:szCs w:val="31"/>
        </w:rPr>
        <w:t>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定开支的各类公务接待（含外宾接待）支出。</w:t>
      </w:r>
    </w:p>
    <w:p>
      <w:pPr>
        <w:spacing w:before="48" w:line="347" w:lineRule="auto"/>
        <w:ind w:left="26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十七、机关运行经费：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指为保障行政单位（包</w:t>
      </w:r>
      <w:r>
        <w:rPr>
          <w:rFonts w:ascii="仿宋" w:hAnsi="仿宋" w:eastAsia="仿宋" w:cs="仿宋"/>
          <w:spacing w:val="6"/>
          <w:sz w:val="31"/>
          <w:szCs w:val="31"/>
        </w:rPr>
        <w:t>括参照公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务员法管理的事业单位）运行用于购买货物和服务的</w:t>
      </w:r>
      <w:r>
        <w:rPr>
          <w:rFonts w:ascii="仿宋" w:hAnsi="仿宋" w:eastAsia="仿宋" w:cs="仿宋"/>
          <w:spacing w:val="8"/>
          <w:sz w:val="31"/>
          <w:szCs w:val="31"/>
        </w:rPr>
        <w:t>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金，包括办公费、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</w:t>
      </w:r>
      <w:r>
        <w:rPr>
          <w:rFonts w:ascii="仿宋" w:hAnsi="仿宋" w:eastAsia="仿宋" w:cs="仿宋"/>
          <w:spacing w:val="8"/>
          <w:sz w:val="31"/>
          <w:szCs w:val="31"/>
        </w:rPr>
        <w:t>办公用房水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电费、办公用房取暖费、办公用房物业管理费、</w:t>
      </w:r>
      <w:r>
        <w:rPr>
          <w:rFonts w:ascii="仿宋" w:hAnsi="仿宋" w:eastAsia="仿宋" w:cs="仿宋"/>
          <w:spacing w:val="8"/>
          <w:sz w:val="31"/>
          <w:szCs w:val="31"/>
        </w:rPr>
        <w:t>公务用车运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行维护费以及其他费用。</w:t>
      </w:r>
    </w:p>
    <w:p>
      <w:pPr>
        <w:spacing w:before="249" w:line="355" w:lineRule="auto"/>
        <w:ind w:left="26" w:right="98" w:firstLine="648"/>
        <w:rPr>
          <w:rFonts w:ascii="仿宋" w:hAnsi="仿宋" w:eastAsia="仿宋" w:cs="仿宋"/>
          <w:sz w:val="31"/>
          <w:szCs w:val="31"/>
        </w:rPr>
      </w:pPr>
    </w:p>
    <w:sectPr>
      <w:footerReference r:id="rId13" w:type="default"/>
      <w:pgSz w:w="11907" w:h="16839"/>
      <w:pgMar w:top="1431" w:right="1705" w:bottom="1153" w:left="1785" w:header="0" w:footer="96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2DWsUAgAAFQQAAA4AAABkcnMvZTJvRG9jLnhtbK1Ty47TMBTdI/EP&#10;lvc0aRGjUj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2zYNa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hNuo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v+E26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FfpE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pgV+k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23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3ABA7"/>
    <w:multiLevelType w:val="singleLevel"/>
    <w:tmpl w:val="F293ABA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1B6683C"/>
    <w:rsid w:val="03863700"/>
    <w:rsid w:val="0A5618EF"/>
    <w:rsid w:val="0BD27AD7"/>
    <w:rsid w:val="1012421E"/>
    <w:rsid w:val="22F80289"/>
    <w:rsid w:val="238C36FC"/>
    <w:rsid w:val="27E8436C"/>
    <w:rsid w:val="27FA54ED"/>
    <w:rsid w:val="319F78E5"/>
    <w:rsid w:val="37980099"/>
    <w:rsid w:val="3D982BE0"/>
    <w:rsid w:val="46926965"/>
    <w:rsid w:val="4899108C"/>
    <w:rsid w:val="494F5011"/>
    <w:rsid w:val="4ED30DF3"/>
    <w:rsid w:val="50EB047D"/>
    <w:rsid w:val="513320E3"/>
    <w:rsid w:val="52EB63B8"/>
    <w:rsid w:val="546D34A1"/>
    <w:rsid w:val="5C016582"/>
    <w:rsid w:val="5C585F1B"/>
    <w:rsid w:val="636C3403"/>
    <w:rsid w:val="653D0FDF"/>
    <w:rsid w:val="68F92F68"/>
    <w:rsid w:val="6C373A6F"/>
    <w:rsid w:val="6E6743E3"/>
    <w:rsid w:val="6F591F37"/>
    <w:rsid w:val="725B68AA"/>
    <w:rsid w:val="7298602A"/>
    <w:rsid w:val="72D700CC"/>
    <w:rsid w:val="7ACC3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1.jpeg"/><Relationship Id="rId24" Type="http://schemas.openxmlformats.org/officeDocument/2006/relationships/image" Target="media/image10.png"/><Relationship Id="rId23" Type="http://schemas.openxmlformats.org/officeDocument/2006/relationships/image" Target="media/image9.jpe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6834</Words>
  <Characters>7067</Characters>
  <TotalTime>4</TotalTime>
  <ScaleCrop>false</ScaleCrop>
  <LinksUpToDate>false</LinksUpToDate>
  <CharactersWithSpaces>7794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2024-08-20T12:29:00Z</dcterms:created>
  <dc:creator>王志强</dc:creator>
  <cp:lastModifiedBy>Administrator</cp:lastModifiedBy>
  <dcterms:modified xsi:type="dcterms:W3CDTF">2024-09-18T03:24:08Z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2024-08-20T12:29:24Z</vt:filetime>
  </property>
  <property fmtid="{D5CDD505-2E9C-101B-9397-08002B2CF9AE}" pid="4" name="KSOProductBuildVer">
    <vt:lpwstr>2052-11.8.2.8053</vt:lpwstr>
  </property>
  <property fmtid="{D5CDD505-2E9C-101B-9397-08002B2CF9AE}" pid="5" name="ICV">
    <vt:lpwstr>FBF1D15304C0408A931FD05E25098327_13</vt:lpwstr>
  </property>
</Properties>
</file>