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FC14C">
      <w:pPr>
        <w:spacing w:before="180" w:line="219" w:lineRule="auto"/>
        <w:ind w:left="47"/>
        <w:rPr>
          <w:rFonts w:ascii="宋体" w:hAnsi="宋体" w:eastAsia="宋体" w:cs="宋体"/>
          <w:sz w:val="28"/>
          <w:szCs w:val="28"/>
        </w:rPr>
      </w:pPr>
      <w:r>
        <w:rPr>
          <w:rFonts w:ascii="宋体" w:hAnsi="宋体" w:eastAsia="宋体" w:cs="宋体"/>
          <w:spacing w:val="-16"/>
          <w:sz w:val="28"/>
          <w:szCs w:val="28"/>
        </w:rPr>
        <w:t>附件</w:t>
      </w:r>
      <w:r>
        <w:rPr>
          <w:rFonts w:ascii="宋体" w:hAnsi="宋体" w:eastAsia="宋体" w:cs="宋体"/>
          <w:spacing w:val="-39"/>
          <w:sz w:val="28"/>
          <w:szCs w:val="28"/>
        </w:rPr>
        <w:t xml:space="preserve"> </w:t>
      </w:r>
      <w:r>
        <w:rPr>
          <w:rFonts w:ascii="宋体" w:hAnsi="宋体" w:eastAsia="宋体" w:cs="宋体"/>
          <w:spacing w:val="-16"/>
          <w:sz w:val="28"/>
          <w:szCs w:val="28"/>
        </w:rPr>
        <w:t>1：</w:t>
      </w:r>
    </w:p>
    <w:p w14:paraId="00F6FCED">
      <w:pPr>
        <w:pStyle w:val="2"/>
        <w:spacing w:line="251" w:lineRule="auto"/>
      </w:pPr>
    </w:p>
    <w:p w14:paraId="20485FCE">
      <w:pPr>
        <w:pStyle w:val="2"/>
        <w:spacing w:line="251" w:lineRule="auto"/>
      </w:pPr>
    </w:p>
    <w:p w14:paraId="0A0F4011">
      <w:pPr>
        <w:pStyle w:val="2"/>
        <w:spacing w:line="252" w:lineRule="auto"/>
      </w:pPr>
    </w:p>
    <w:p w14:paraId="3A177AF3">
      <w:pPr>
        <w:pStyle w:val="2"/>
        <w:spacing w:line="252" w:lineRule="auto"/>
      </w:pPr>
    </w:p>
    <w:p w14:paraId="5150F9F4">
      <w:pPr>
        <w:pStyle w:val="2"/>
        <w:spacing w:line="252" w:lineRule="auto"/>
      </w:pPr>
    </w:p>
    <w:p w14:paraId="4990BE06">
      <w:pPr>
        <w:pStyle w:val="2"/>
        <w:spacing w:line="252" w:lineRule="auto"/>
      </w:pPr>
    </w:p>
    <w:p w14:paraId="7387012B">
      <w:pPr>
        <w:pStyle w:val="2"/>
        <w:spacing w:line="252" w:lineRule="auto"/>
      </w:pPr>
    </w:p>
    <w:p w14:paraId="0F04D95A">
      <w:pPr>
        <w:pStyle w:val="2"/>
        <w:spacing w:line="252" w:lineRule="auto"/>
      </w:pPr>
    </w:p>
    <w:p w14:paraId="12897043">
      <w:pPr>
        <w:pStyle w:val="2"/>
        <w:spacing w:line="252" w:lineRule="auto"/>
      </w:pPr>
    </w:p>
    <w:p w14:paraId="41884FA8">
      <w:pPr>
        <w:pStyle w:val="2"/>
        <w:spacing w:line="252" w:lineRule="auto"/>
      </w:pPr>
    </w:p>
    <w:p w14:paraId="7C7091B7">
      <w:pPr>
        <w:pStyle w:val="2"/>
        <w:spacing w:line="252" w:lineRule="auto"/>
      </w:pPr>
    </w:p>
    <w:p w14:paraId="0FB3C319">
      <w:pPr>
        <w:pStyle w:val="2"/>
        <w:spacing w:line="252" w:lineRule="auto"/>
      </w:pPr>
    </w:p>
    <w:p w14:paraId="4A4B4644">
      <w:pPr>
        <w:pStyle w:val="2"/>
        <w:spacing w:line="252" w:lineRule="auto"/>
      </w:pPr>
    </w:p>
    <w:p w14:paraId="58280A25">
      <w:pPr>
        <w:spacing w:before="180" w:line="187" w:lineRule="auto"/>
        <w:ind w:left="3255"/>
        <w:rPr>
          <w:rFonts w:ascii="微软雅黑" w:hAnsi="微软雅黑" w:eastAsia="微软雅黑" w:cs="微软雅黑"/>
          <w:sz w:val="42"/>
          <w:szCs w:val="42"/>
        </w:rPr>
      </w:pPr>
      <w:r>
        <w:rPr>
          <w:rFonts w:ascii="微软雅黑" w:hAnsi="微软雅黑" w:eastAsia="微软雅黑" w:cs="微软雅黑"/>
          <w:spacing w:val="4"/>
          <w:sz w:val="42"/>
          <w:szCs w:val="42"/>
        </w:rPr>
        <w:t>2023</w:t>
      </w:r>
      <w:r>
        <w:rPr>
          <w:rFonts w:ascii="宋体" w:hAnsi="宋体" w:eastAsia="宋体" w:cs="宋体"/>
          <w:spacing w:val="-103"/>
          <w:sz w:val="43"/>
          <w:szCs w:val="43"/>
        </w:rPr>
        <w:t xml:space="preserve"> </w:t>
      </w:r>
      <w:r>
        <w:rPr>
          <w:rFonts w:ascii="微软雅黑" w:hAnsi="微软雅黑" w:eastAsia="微软雅黑" w:cs="微软雅黑"/>
          <w:spacing w:val="4"/>
          <w:sz w:val="42"/>
          <w:szCs w:val="42"/>
        </w:rPr>
        <w:t>年度</w:t>
      </w:r>
    </w:p>
    <w:p w14:paraId="1EBE4867">
      <w:pPr>
        <w:pStyle w:val="2"/>
        <w:spacing w:line="477" w:lineRule="auto"/>
      </w:pPr>
    </w:p>
    <w:p w14:paraId="5DE005A7">
      <w:pPr>
        <w:spacing w:before="189" w:line="181" w:lineRule="auto"/>
        <w:ind w:left="1099"/>
        <w:rPr>
          <w:rFonts w:ascii="微软雅黑" w:hAnsi="微软雅黑" w:eastAsia="微软雅黑" w:cs="微软雅黑"/>
          <w:sz w:val="44"/>
          <w:szCs w:val="44"/>
        </w:rPr>
      </w:pPr>
      <w:r>
        <w:rPr>
          <w:rFonts w:hint="eastAsia" w:ascii="微软雅黑" w:hAnsi="微软雅黑" w:eastAsia="微软雅黑" w:cs="微软雅黑"/>
          <w:spacing w:val="34"/>
          <w:sz w:val="44"/>
          <w:szCs w:val="44"/>
          <w:lang w:val="en-US" w:eastAsia="zh-CN"/>
        </w:rPr>
        <w:t>德惠市布海镇人民政府</w:t>
      </w:r>
      <w:r>
        <w:rPr>
          <w:rFonts w:ascii="微软雅黑" w:hAnsi="微软雅黑" w:eastAsia="微软雅黑" w:cs="微软雅黑"/>
          <w:spacing w:val="34"/>
          <w:sz w:val="44"/>
          <w:szCs w:val="44"/>
        </w:rPr>
        <w:t>部门决算</w:t>
      </w:r>
    </w:p>
    <w:p w14:paraId="51C71399">
      <w:pPr>
        <w:pStyle w:val="2"/>
        <w:spacing w:line="242" w:lineRule="auto"/>
      </w:pPr>
    </w:p>
    <w:p w14:paraId="7791EFA8">
      <w:pPr>
        <w:pStyle w:val="2"/>
        <w:spacing w:line="242" w:lineRule="auto"/>
      </w:pPr>
    </w:p>
    <w:p w14:paraId="32733296">
      <w:pPr>
        <w:pStyle w:val="2"/>
        <w:spacing w:line="242" w:lineRule="auto"/>
      </w:pPr>
    </w:p>
    <w:p w14:paraId="164B012E">
      <w:pPr>
        <w:pStyle w:val="2"/>
        <w:spacing w:line="242" w:lineRule="auto"/>
      </w:pPr>
    </w:p>
    <w:p w14:paraId="725BF888">
      <w:pPr>
        <w:pStyle w:val="2"/>
        <w:spacing w:line="242" w:lineRule="auto"/>
      </w:pPr>
    </w:p>
    <w:p w14:paraId="2435196E">
      <w:pPr>
        <w:pStyle w:val="2"/>
        <w:spacing w:line="242" w:lineRule="auto"/>
      </w:pPr>
    </w:p>
    <w:p w14:paraId="79F4483E">
      <w:pPr>
        <w:pStyle w:val="2"/>
        <w:spacing w:line="242" w:lineRule="auto"/>
      </w:pPr>
    </w:p>
    <w:p w14:paraId="69B5160C">
      <w:pPr>
        <w:pStyle w:val="2"/>
        <w:spacing w:line="242" w:lineRule="auto"/>
      </w:pPr>
    </w:p>
    <w:p w14:paraId="35C610D1">
      <w:pPr>
        <w:pStyle w:val="2"/>
        <w:spacing w:line="242" w:lineRule="auto"/>
      </w:pPr>
    </w:p>
    <w:p w14:paraId="3A4F1F72">
      <w:pPr>
        <w:pStyle w:val="2"/>
        <w:spacing w:line="242" w:lineRule="auto"/>
      </w:pPr>
    </w:p>
    <w:p w14:paraId="3591FD07">
      <w:pPr>
        <w:pStyle w:val="2"/>
        <w:spacing w:line="242" w:lineRule="auto"/>
      </w:pPr>
    </w:p>
    <w:p w14:paraId="30048492">
      <w:pPr>
        <w:pStyle w:val="2"/>
        <w:spacing w:line="243" w:lineRule="auto"/>
      </w:pPr>
    </w:p>
    <w:p w14:paraId="03DCE15D">
      <w:pPr>
        <w:pStyle w:val="2"/>
        <w:spacing w:line="243" w:lineRule="auto"/>
      </w:pPr>
    </w:p>
    <w:p w14:paraId="7DCDED6B">
      <w:pPr>
        <w:pStyle w:val="2"/>
        <w:spacing w:line="243" w:lineRule="auto"/>
      </w:pPr>
    </w:p>
    <w:p w14:paraId="4B801CB8">
      <w:pPr>
        <w:pStyle w:val="2"/>
        <w:spacing w:line="243" w:lineRule="auto"/>
      </w:pPr>
    </w:p>
    <w:p w14:paraId="554BBDDC">
      <w:pPr>
        <w:pStyle w:val="2"/>
        <w:spacing w:line="243" w:lineRule="auto"/>
      </w:pPr>
    </w:p>
    <w:p w14:paraId="316AD485">
      <w:pPr>
        <w:pStyle w:val="2"/>
        <w:spacing w:line="243" w:lineRule="auto"/>
      </w:pPr>
    </w:p>
    <w:p w14:paraId="25CE4DB8">
      <w:pPr>
        <w:pStyle w:val="2"/>
        <w:spacing w:line="243" w:lineRule="auto"/>
      </w:pPr>
    </w:p>
    <w:p w14:paraId="03E7A067">
      <w:pPr>
        <w:pStyle w:val="2"/>
        <w:spacing w:line="243" w:lineRule="auto"/>
      </w:pPr>
    </w:p>
    <w:p w14:paraId="4C12A4DB">
      <w:pPr>
        <w:pStyle w:val="2"/>
        <w:spacing w:line="243" w:lineRule="auto"/>
      </w:pPr>
    </w:p>
    <w:p w14:paraId="2DF1FC79">
      <w:pPr>
        <w:spacing w:before="101" w:line="224" w:lineRule="auto"/>
        <w:ind w:left="2944"/>
        <w:rPr>
          <w:rFonts w:ascii="仿宋" w:hAnsi="仿宋" w:eastAsia="仿宋" w:cs="仿宋"/>
          <w:sz w:val="31"/>
          <w:szCs w:val="31"/>
        </w:rPr>
      </w:pPr>
      <w:r>
        <w:rPr>
          <w:rFonts w:ascii="宋体" w:hAnsi="宋体" w:eastAsia="宋体" w:cs="宋体"/>
          <w:spacing w:val="-6"/>
          <w:sz w:val="31"/>
          <w:szCs w:val="31"/>
        </w:rPr>
        <w:t>2024</w:t>
      </w:r>
      <w:r>
        <w:rPr>
          <w:rFonts w:ascii="宋体" w:hAnsi="宋体" w:eastAsia="宋体" w:cs="宋体"/>
          <w:spacing w:val="-48"/>
          <w:sz w:val="31"/>
          <w:szCs w:val="31"/>
        </w:rPr>
        <w:t xml:space="preserve"> </w:t>
      </w:r>
      <w:r>
        <w:rPr>
          <w:rFonts w:ascii="仿宋" w:hAnsi="仿宋" w:eastAsia="仿宋" w:cs="仿宋"/>
          <w:spacing w:val="-6"/>
          <w:sz w:val="31"/>
          <w:szCs w:val="31"/>
        </w:rPr>
        <w:t>年</w:t>
      </w:r>
      <w:r>
        <w:rPr>
          <w:rFonts w:hint="eastAsia" w:ascii="仿宋" w:hAnsi="仿宋" w:eastAsia="仿宋" w:cs="仿宋"/>
          <w:spacing w:val="23"/>
          <w:sz w:val="31"/>
          <w:szCs w:val="31"/>
          <w:lang w:val="en-US" w:eastAsia="zh-CN"/>
        </w:rPr>
        <w:t>9</w:t>
      </w:r>
      <w:r>
        <w:rPr>
          <w:rFonts w:ascii="仿宋" w:hAnsi="仿宋" w:eastAsia="仿宋" w:cs="仿宋"/>
          <w:spacing w:val="-6"/>
          <w:sz w:val="31"/>
          <w:szCs w:val="31"/>
        </w:rPr>
        <w:t>月</w:t>
      </w:r>
      <w:r>
        <w:rPr>
          <w:rFonts w:hint="eastAsia" w:ascii="仿宋" w:hAnsi="仿宋" w:eastAsia="仿宋" w:cs="仿宋"/>
          <w:spacing w:val="35"/>
          <w:sz w:val="31"/>
          <w:szCs w:val="31"/>
          <w:lang w:val="en-US" w:eastAsia="zh-CN"/>
        </w:rPr>
        <w:t>13</w:t>
      </w:r>
      <w:r>
        <w:rPr>
          <w:rFonts w:ascii="仿宋" w:hAnsi="仿宋" w:eastAsia="仿宋" w:cs="仿宋"/>
          <w:spacing w:val="-6"/>
          <w:sz w:val="31"/>
          <w:szCs w:val="31"/>
        </w:rPr>
        <w:t>日</w:t>
      </w:r>
    </w:p>
    <w:p w14:paraId="2B0F5C89">
      <w:pPr>
        <w:spacing w:line="224" w:lineRule="auto"/>
        <w:rPr>
          <w:rFonts w:ascii="仿宋" w:hAnsi="仿宋" w:eastAsia="仿宋" w:cs="仿宋"/>
          <w:sz w:val="31"/>
          <w:szCs w:val="31"/>
        </w:rPr>
        <w:sectPr>
          <w:footerReference r:id="rId5" w:type="default"/>
          <w:pgSz w:w="11907" w:h="16839"/>
          <w:pgMar w:top="1431" w:right="1785" w:bottom="1153" w:left="1785" w:header="0" w:footer="965" w:gutter="0"/>
          <w:cols w:space="720" w:num="1"/>
        </w:sectPr>
      </w:pPr>
    </w:p>
    <w:p w14:paraId="72375D56">
      <w:pPr>
        <w:pStyle w:val="2"/>
        <w:spacing w:line="289" w:lineRule="auto"/>
      </w:pPr>
    </w:p>
    <w:p w14:paraId="5BE27D9A">
      <w:pPr>
        <w:pStyle w:val="2"/>
        <w:spacing w:line="290" w:lineRule="auto"/>
      </w:pPr>
    </w:p>
    <w:p w14:paraId="57210DD5">
      <w:pPr>
        <w:spacing w:before="140" w:line="223" w:lineRule="auto"/>
        <w:ind w:left="3502"/>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p w14:paraId="5870AEEF">
      <w:pPr>
        <w:pStyle w:val="2"/>
        <w:spacing w:line="341" w:lineRule="auto"/>
      </w:pPr>
    </w:p>
    <w:p w14:paraId="18196F48">
      <w:pPr>
        <w:pStyle w:val="2"/>
        <w:spacing w:line="342" w:lineRule="auto"/>
      </w:pPr>
    </w:p>
    <w:p w14:paraId="671FA1DE">
      <w:pPr>
        <w:spacing w:before="101" w:line="223" w:lineRule="auto"/>
        <w:ind w:left="49"/>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部门概况</w:t>
      </w:r>
    </w:p>
    <w:p w14:paraId="5606A800">
      <w:pPr>
        <w:spacing w:before="249" w:line="223" w:lineRule="auto"/>
        <w:ind w:left="40"/>
        <w:rPr>
          <w:rFonts w:ascii="仿宋" w:hAnsi="仿宋" w:eastAsia="仿宋" w:cs="仿宋"/>
          <w:sz w:val="31"/>
          <w:szCs w:val="31"/>
        </w:rPr>
      </w:pPr>
      <w:r>
        <w:rPr>
          <w:rFonts w:ascii="仿宋" w:hAnsi="仿宋" w:eastAsia="仿宋" w:cs="仿宋"/>
          <w:sz w:val="31"/>
          <w:szCs w:val="31"/>
        </w:rPr>
        <w:t>一、部门职责</w:t>
      </w:r>
    </w:p>
    <w:p w14:paraId="23BE906E">
      <w:pPr>
        <w:spacing w:before="250" w:line="222" w:lineRule="auto"/>
        <w:ind w:left="45"/>
        <w:rPr>
          <w:rFonts w:ascii="仿宋" w:hAnsi="仿宋" w:eastAsia="仿宋" w:cs="仿宋"/>
          <w:sz w:val="31"/>
          <w:szCs w:val="31"/>
        </w:rPr>
      </w:pPr>
      <w:r>
        <w:rPr>
          <w:rFonts w:ascii="仿宋" w:hAnsi="仿宋" w:eastAsia="仿宋" w:cs="仿宋"/>
          <w:spacing w:val="7"/>
          <w:sz w:val="31"/>
          <w:szCs w:val="31"/>
        </w:rPr>
        <w:t>二、机构设置及部门决算单位构成</w:t>
      </w:r>
    </w:p>
    <w:p w14:paraId="7348E202">
      <w:pPr>
        <w:spacing w:before="250" w:line="223" w:lineRule="auto"/>
        <w:ind w:left="49"/>
        <w:outlineLvl w:val="1"/>
        <w:rPr>
          <w:rFonts w:ascii="仿宋" w:hAnsi="仿宋" w:eastAsia="仿宋" w:cs="仿宋"/>
          <w:sz w:val="31"/>
          <w:szCs w:val="31"/>
        </w:rPr>
      </w:pPr>
      <w:r>
        <w:rPr>
          <w:rFonts w:ascii="仿宋" w:hAnsi="仿宋" w:eastAsia="仿宋" w:cs="仿宋"/>
          <w:b/>
          <w:bCs/>
          <w:spacing w:val="2"/>
          <w:sz w:val="31"/>
          <w:szCs w:val="31"/>
        </w:rPr>
        <w:t>第二部分</w:t>
      </w:r>
      <w:r>
        <w:rPr>
          <w:rFonts w:ascii="仿宋" w:hAnsi="仿宋" w:eastAsia="仿宋" w:cs="仿宋"/>
          <w:spacing w:val="2"/>
          <w:sz w:val="31"/>
          <w:szCs w:val="31"/>
        </w:rPr>
        <w:t xml:space="preserve"> </w:t>
      </w:r>
      <w:r>
        <w:rPr>
          <w:rFonts w:ascii="宋体" w:hAnsi="宋体" w:eastAsia="宋体" w:cs="宋体"/>
          <w:b/>
          <w:bCs/>
          <w:spacing w:val="2"/>
          <w:sz w:val="31"/>
          <w:szCs w:val="31"/>
        </w:rPr>
        <w:t>2023</w:t>
      </w:r>
      <w:r>
        <w:rPr>
          <w:rFonts w:ascii="宋体" w:hAnsi="宋体" w:eastAsia="宋体" w:cs="宋体"/>
          <w:spacing w:val="-36"/>
          <w:sz w:val="31"/>
          <w:szCs w:val="31"/>
        </w:rPr>
        <w:t xml:space="preserve"> </w:t>
      </w:r>
      <w:r>
        <w:rPr>
          <w:rFonts w:ascii="仿宋" w:hAnsi="仿宋" w:eastAsia="仿宋" w:cs="仿宋"/>
          <w:b/>
          <w:bCs/>
          <w:spacing w:val="2"/>
          <w:sz w:val="31"/>
          <w:szCs w:val="31"/>
        </w:rPr>
        <w:t>年度部门决算表</w:t>
      </w:r>
    </w:p>
    <w:p w14:paraId="767529CA">
      <w:pPr>
        <w:spacing w:before="250" w:line="223" w:lineRule="auto"/>
        <w:ind w:left="40"/>
        <w:rPr>
          <w:rFonts w:ascii="仿宋" w:hAnsi="仿宋" w:eastAsia="仿宋" w:cs="仿宋"/>
          <w:sz w:val="31"/>
          <w:szCs w:val="31"/>
        </w:rPr>
      </w:pPr>
      <w:r>
        <w:rPr>
          <w:rFonts w:ascii="仿宋" w:hAnsi="仿宋" w:eastAsia="仿宋" w:cs="仿宋"/>
          <w:spacing w:val="4"/>
          <w:sz w:val="31"/>
          <w:szCs w:val="31"/>
        </w:rPr>
        <w:t>一、收入支出决算总表</w:t>
      </w:r>
    </w:p>
    <w:p w14:paraId="2AD8CCE6">
      <w:pPr>
        <w:spacing w:before="250" w:line="223" w:lineRule="auto"/>
        <w:ind w:left="45"/>
        <w:rPr>
          <w:rFonts w:ascii="仿宋" w:hAnsi="仿宋" w:eastAsia="仿宋" w:cs="仿宋"/>
          <w:sz w:val="31"/>
          <w:szCs w:val="31"/>
        </w:rPr>
      </w:pPr>
      <w:r>
        <w:rPr>
          <w:rFonts w:ascii="仿宋" w:hAnsi="仿宋" w:eastAsia="仿宋" w:cs="仿宋"/>
          <w:spacing w:val="5"/>
          <w:sz w:val="31"/>
          <w:szCs w:val="31"/>
        </w:rPr>
        <w:t>二、收入决算表</w:t>
      </w:r>
    </w:p>
    <w:p w14:paraId="49955E56">
      <w:pPr>
        <w:spacing w:before="249" w:line="223" w:lineRule="auto"/>
        <w:ind w:left="44"/>
        <w:rPr>
          <w:rFonts w:ascii="仿宋" w:hAnsi="仿宋" w:eastAsia="仿宋" w:cs="仿宋"/>
          <w:sz w:val="31"/>
          <w:szCs w:val="31"/>
        </w:rPr>
      </w:pPr>
      <w:r>
        <w:rPr>
          <w:rFonts w:ascii="仿宋" w:hAnsi="仿宋" w:eastAsia="仿宋" w:cs="仿宋"/>
          <w:spacing w:val="5"/>
          <w:sz w:val="31"/>
          <w:szCs w:val="31"/>
        </w:rPr>
        <w:t>三、支出决算表</w:t>
      </w:r>
    </w:p>
    <w:p w14:paraId="67361CC3">
      <w:pPr>
        <w:spacing w:before="250" w:line="223" w:lineRule="auto"/>
        <w:ind w:left="73"/>
        <w:rPr>
          <w:rFonts w:ascii="仿宋" w:hAnsi="仿宋" w:eastAsia="仿宋" w:cs="仿宋"/>
          <w:sz w:val="31"/>
          <w:szCs w:val="31"/>
        </w:rPr>
      </w:pPr>
      <w:r>
        <w:rPr>
          <w:rFonts w:ascii="仿宋" w:hAnsi="仿宋" w:eastAsia="仿宋" w:cs="仿宋"/>
          <w:spacing w:val="5"/>
          <w:sz w:val="31"/>
          <w:szCs w:val="31"/>
        </w:rPr>
        <w:t>四、财政拨款收入支出决算总表</w:t>
      </w:r>
    </w:p>
    <w:p w14:paraId="53FDAFEC">
      <w:pPr>
        <w:spacing w:before="24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25330E80">
      <w:pPr>
        <w:spacing w:before="250"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六、一般公共预算财政拨款基本支出决算明细表</w:t>
      </w:r>
    </w:p>
    <w:p w14:paraId="6077E8AC">
      <w:pPr>
        <w:spacing w:before="251" w:line="221" w:lineRule="auto"/>
        <w:ind w:left="41"/>
        <w:rPr>
          <w:rFonts w:ascii="仿宋" w:hAnsi="仿宋" w:eastAsia="仿宋" w:cs="仿宋"/>
          <w:sz w:val="31"/>
          <w:szCs w:val="31"/>
        </w:rPr>
      </w:pPr>
      <w:r>
        <w:rPr>
          <w:rFonts w:ascii="仿宋" w:hAnsi="仿宋" w:eastAsia="仿宋" w:cs="仿宋"/>
          <w:spacing w:val="7"/>
          <w:sz w:val="31"/>
          <w:szCs w:val="31"/>
        </w:rPr>
        <w:t>七、政府性基金预算财政拨款收入支出决算表</w:t>
      </w:r>
    </w:p>
    <w:p w14:paraId="237DB45D">
      <w:pPr>
        <w:spacing w:before="252" w:line="223" w:lineRule="auto"/>
        <w:ind w:left="34"/>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82"/>
          <w:sz w:val="31"/>
          <w:szCs w:val="31"/>
        </w:rPr>
        <w:t xml:space="preserve"> </w:t>
      </w:r>
      <w:r>
        <w:rPr>
          <w:rFonts w:ascii="仿宋" w:hAnsi="仿宋" w:eastAsia="仿宋" w:cs="仿宋"/>
          <w:spacing w:val="5"/>
          <w:sz w:val="31"/>
          <w:szCs w:val="31"/>
        </w:rPr>
        <w:t>国有资本经营预算财政拨款支出决算表</w:t>
      </w:r>
    </w:p>
    <w:p w14:paraId="1C1A8E7B">
      <w:pPr>
        <w:spacing w:before="249"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九、财政拨款“三公”经费支出决算表</w:t>
      </w:r>
    </w:p>
    <w:p w14:paraId="7F7F7DF8">
      <w:pPr>
        <w:spacing w:before="250" w:line="223" w:lineRule="auto"/>
        <w:ind w:left="44"/>
        <w:rPr>
          <w:rFonts w:ascii="仿宋" w:hAnsi="仿宋" w:eastAsia="仿宋" w:cs="仿宋"/>
          <w:sz w:val="31"/>
          <w:szCs w:val="31"/>
        </w:rPr>
      </w:pPr>
      <w:r>
        <w:rPr>
          <w:rFonts w:ascii="仿宋" w:hAnsi="仿宋" w:eastAsia="仿宋" w:cs="仿宋"/>
          <w:spacing w:val="6"/>
          <w:sz w:val="31"/>
          <w:szCs w:val="31"/>
        </w:rPr>
        <w:t>十、部门预算项目支出绩效自评表</w:t>
      </w:r>
    </w:p>
    <w:p w14:paraId="0839B10E">
      <w:pPr>
        <w:spacing w:before="249" w:line="223" w:lineRule="auto"/>
        <w:ind w:left="49"/>
        <w:outlineLvl w:val="1"/>
        <w:rPr>
          <w:rFonts w:ascii="仿宋" w:hAnsi="仿宋" w:eastAsia="仿宋" w:cs="仿宋"/>
          <w:sz w:val="31"/>
          <w:szCs w:val="31"/>
        </w:rPr>
      </w:pPr>
      <w:r>
        <w:rPr>
          <w:rFonts w:ascii="仿宋" w:hAnsi="仿宋" w:eastAsia="仿宋" w:cs="仿宋"/>
          <w:b/>
          <w:bCs/>
          <w:spacing w:val="3"/>
          <w:sz w:val="31"/>
          <w:szCs w:val="31"/>
        </w:rPr>
        <w:t>第三部分</w:t>
      </w:r>
      <w:r>
        <w:rPr>
          <w:rFonts w:ascii="仿宋" w:hAnsi="仿宋" w:eastAsia="仿宋" w:cs="仿宋"/>
          <w:spacing w:val="3"/>
          <w:sz w:val="31"/>
          <w:szCs w:val="31"/>
        </w:rPr>
        <w:t xml:space="preserve">  </w:t>
      </w:r>
      <w:r>
        <w:rPr>
          <w:rFonts w:ascii="宋体" w:hAnsi="宋体" w:eastAsia="宋体" w:cs="宋体"/>
          <w:b/>
          <w:bCs/>
          <w:spacing w:val="3"/>
          <w:sz w:val="31"/>
          <w:szCs w:val="31"/>
        </w:rPr>
        <w:t>2023</w:t>
      </w:r>
      <w:r>
        <w:rPr>
          <w:rFonts w:ascii="宋体" w:hAnsi="宋体" w:eastAsia="宋体" w:cs="宋体"/>
          <w:spacing w:val="-37"/>
          <w:sz w:val="31"/>
          <w:szCs w:val="31"/>
        </w:rPr>
        <w:t xml:space="preserve"> </w:t>
      </w:r>
      <w:r>
        <w:rPr>
          <w:rFonts w:ascii="仿宋" w:hAnsi="仿宋" w:eastAsia="仿宋" w:cs="仿宋"/>
          <w:b/>
          <w:bCs/>
          <w:spacing w:val="3"/>
          <w:sz w:val="31"/>
          <w:szCs w:val="31"/>
        </w:rPr>
        <w:t>年度部门决算情况说明</w:t>
      </w:r>
    </w:p>
    <w:p w14:paraId="0AD03087">
      <w:pPr>
        <w:spacing w:before="250" w:line="223" w:lineRule="auto"/>
        <w:ind w:left="40"/>
        <w:rPr>
          <w:rFonts w:ascii="仿宋" w:hAnsi="仿宋" w:eastAsia="仿宋" w:cs="仿宋"/>
          <w:sz w:val="31"/>
          <w:szCs w:val="31"/>
        </w:rPr>
      </w:pPr>
      <w:r>
        <w:rPr>
          <w:rFonts w:ascii="仿宋" w:hAnsi="仿宋" w:eastAsia="仿宋" w:cs="仿宋"/>
          <w:spacing w:val="5"/>
          <w:sz w:val="31"/>
          <w:szCs w:val="31"/>
        </w:rPr>
        <w:t>一、收入支出决算总体情况说明</w:t>
      </w:r>
    </w:p>
    <w:p w14:paraId="684A2C3E">
      <w:pPr>
        <w:spacing w:before="250" w:line="223" w:lineRule="auto"/>
        <w:ind w:left="45"/>
        <w:rPr>
          <w:rFonts w:ascii="仿宋" w:hAnsi="仿宋" w:eastAsia="仿宋" w:cs="仿宋"/>
          <w:sz w:val="31"/>
          <w:szCs w:val="31"/>
        </w:rPr>
      </w:pPr>
      <w:r>
        <w:rPr>
          <w:rFonts w:ascii="仿宋" w:hAnsi="仿宋" w:eastAsia="仿宋" w:cs="仿宋"/>
          <w:spacing w:val="6"/>
          <w:sz w:val="31"/>
          <w:szCs w:val="31"/>
        </w:rPr>
        <w:t>二、收入决算情况说明</w:t>
      </w:r>
    </w:p>
    <w:p w14:paraId="6AB8B1CB">
      <w:pPr>
        <w:spacing w:before="250" w:line="223" w:lineRule="auto"/>
        <w:ind w:left="44"/>
        <w:rPr>
          <w:rFonts w:ascii="仿宋" w:hAnsi="仿宋" w:eastAsia="仿宋" w:cs="仿宋"/>
          <w:sz w:val="31"/>
          <w:szCs w:val="31"/>
        </w:rPr>
      </w:pPr>
      <w:r>
        <w:rPr>
          <w:rFonts w:ascii="仿宋" w:hAnsi="仿宋" w:eastAsia="仿宋" w:cs="仿宋"/>
          <w:spacing w:val="6"/>
          <w:sz w:val="31"/>
          <w:szCs w:val="31"/>
        </w:rPr>
        <w:t>三、支出决算情况说明</w:t>
      </w:r>
    </w:p>
    <w:p w14:paraId="189C9044">
      <w:pPr>
        <w:spacing w:before="249" w:line="223" w:lineRule="auto"/>
        <w:ind w:left="73"/>
        <w:rPr>
          <w:rFonts w:ascii="仿宋" w:hAnsi="仿宋" w:eastAsia="仿宋" w:cs="仿宋"/>
          <w:sz w:val="31"/>
          <w:szCs w:val="31"/>
        </w:rPr>
      </w:pPr>
      <w:r>
        <w:rPr>
          <w:rFonts w:ascii="仿宋" w:hAnsi="仿宋" w:eastAsia="仿宋" w:cs="仿宋"/>
          <w:spacing w:val="6"/>
          <w:sz w:val="31"/>
          <w:szCs w:val="31"/>
        </w:rPr>
        <w:t>四、财政拨款收入支出决算总体情况说明</w:t>
      </w:r>
    </w:p>
    <w:p w14:paraId="270AFF71">
      <w:pPr>
        <w:spacing w:line="223" w:lineRule="auto"/>
        <w:rPr>
          <w:rFonts w:ascii="仿宋" w:hAnsi="仿宋" w:eastAsia="仿宋" w:cs="仿宋"/>
          <w:sz w:val="31"/>
          <w:szCs w:val="31"/>
        </w:rPr>
        <w:sectPr>
          <w:footerReference r:id="rId6" w:type="default"/>
          <w:pgSz w:w="11907" w:h="16839"/>
          <w:pgMar w:top="1431" w:right="1785" w:bottom="1153" w:left="1785" w:header="0" w:footer="965" w:gutter="0"/>
          <w:cols w:space="720" w:num="1"/>
        </w:sectPr>
      </w:pPr>
    </w:p>
    <w:p w14:paraId="6ACA0EFF">
      <w:pPr>
        <w:spacing w:before="15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14:paraId="2A18811E">
      <w:pPr>
        <w:spacing w:before="249"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14:paraId="56BF8FD1">
      <w:pPr>
        <w:spacing w:before="250" w:line="221" w:lineRule="auto"/>
        <w:ind w:left="41"/>
        <w:rPr>
          <w:rFonts w:ascii="仿宋" w:hAnsi="仿宋" w:eastAsia="仿宋" w:cs="仿宋"/>
          <w:sz w:val="31"/>
          <w:szCs w:val="31"/>
        </w:rPr>
      </w:pPr>
      <w:r>
        <w:rPr>
          <w:rFonts w:ascii="仿宋" w:hAnsi="仿宋" w:eastAsia="仿宋" w:cs="仿宋"/>
          <w:spacing w:val="8"/>
          <w:sz w:val="31"/>
          <w:szCs w:val="31"/>
        </w:rPr>
        <w:t>七、政府性基金预算财政拨款收入支出决算情况说明</w:t>
      </w:r>
    </w:p>
    <w:p w14:paraId="0B49D2E2">
      <w:pPr>
        <w:spacing w:before="251" w:line="223" w:lineRule="auto"/>
        <w:ind w:left="34"/>
        <w:rPr>
          <w:rFonts w:ascii="仿宋" w:hAnsi="仿宋" w:eastAsia="仿宋" w:cs="仿宋"/>
          <w:sz w:val="31"/>
          <w:szCs w:val="31"/>
        </w:rPr>
      </w:pPr>
      <w:r>
        <w:rPr>
          <w:rFonts w:ascii="仿宋" w:hAnsi="仿宋" w:eastAsia="仿宋" w:cs="仿宋"/>
          <w:spacing w:val="6"/>
          <w:sz w:val="31"/>
          <w:szCs w:val="31"/>
        </w:rPr>
        <w:t>八、</w:t>
      </w:r>
      <w:r>
        <w:rPr>
          <w:rFonts w:ascii="仿宋" w:hAnsi="仿宋" w:eastAsia="仿宋" w:cs="仿宋"/>
          <w:spacing w:val="-91"/>
          <w:sz w:val="31"/>
          <w:szCs w:val="31"/>
        </w:rPr>
        <w:t xml:space="preserve"> </w:t>
      </w:r>
      <w:r>
        <w:rPr>
          <w:rFonts w:ascii="仿宋" w:hAnsi="仿宋" w:eastAsia="仿宋" w:cs="仿宋"/>
          <w:spacing w:val="6"/>
          <w:sz w:val="31"/>
          <w:szCs w:val="31"/>
        </w:rPr>
        <w:t>国有资本经营预算财政拨款支出决算情况说明</w:t>
      </w:r>
    </w:p>
    <w:p w14:paraId="1EAC6CCB">
      <w:pPr>
        <w:spacing w:before="250"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九、财政拨款“三公”经费支出决算情况说明</w:t>
      </w:r>
    </w:p>
    <w:p w14:paraId="7A4E86F7">
      <w:pPr>
        <w:spacing w:before="249" w:line="224" w:lineRule="auto"/>
        <w:ind w:left="44"/>
        <w:rPr>
          <w:rFonts w:ascii="仿宋" w:hAnsi="仿宋" w:eastAsia="仿宋" w:cs="仿宋"/>
          <w:sz w:val="31"/>
          <w:szCs w:val="31"/>
        </w:rPr>
      </w:pPr>
      <w:r>
        <w:rPr>
          <w:rFonts w:ascii="仿宋" w:hAnsi="仿宋" w:eastAsia="仿宋" w:cs="仿宋"/>
          <w:spacing w:val="6"/>
          <w:sz w:val="31"/>
          <w:szCs w:val="31"/>
        </w:rPr>
        <w:t>十、绩效评价情况说明</w:t>
      </w:r>
    </w:p>
    <w:p w14:paraId="149E6D94">
      <w:pPr>
        <w:spacing w:before="248" w:line="223" w:lineRule="auto"/>
        <w:ind w:left="44"/>
        <w:rPr>
          <w:rFonts w:ascii="仿宋" w:hAnsi="仿宋" w:eastAsia="仿宋" w:cs="仿宋"/>
          <w:sz w:val="31"/>
          <w:szCs w:val="31"/>
        </w:rPr>
      </w:pPr>
      <w:r>
        <w:rPr>
          <w:rFonts w:ascii="仿宋" w:hAnsi="仿宋" w:eastAsia="仿宋" w:cs="仿宋"/>
          <w:spacing w:val="7"/>
          <w:sz w:val="31"/>
          <w:szCs w:val="31"/>
        </w:rPr>
        <w:t>十一、其他重要事项情况说明</w:t>
      </w:r>
    </w:p>
    <w:p w14:paraId="37283820">
      <w:pPr>
        <w:spacing w:before="250" w:line="224" w:lineRule="auto"/>
        <w:ind w:left="49"/>
        <w:rPr>
          <w:rFonts w:ascii="仿宋" w:hAnsi="仿宋" w:eastAsia="仿宋" w:cs="仿宋"/>
          <w:sz w:val="31"/>
          <w:szCs w:val="31"/>
        </w:rPr>
      </w:pPr>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名词解释</w:t>
      </w:r>
    </w:p>
    <w:p w14:paraId="133887C7">
      <w:pPr>
        <w:spacing w:line="224" w:lineRule="auto"/>
        <w:rPr>
          <w:rFonts w:ascii="仿宋" w:hAnsi="仿宋" w:eastAsia="仿宋" w:cs="仿宋"/>
          <w:sz w:val="31"/>
          <w:szCs w:val="31"/>
        </w:rPr>
        <w:sectPr>
          <w:footerReference r:id="rId7" w:type="default"/>
          <w:pgSz w:w="11907" w:h="16839"/>
          <w:pgMar w:top="1431" w:right="1785" w:bottom="1153" w:left="1785" w:header="0" w:footer="965" w:gutter="0"/>
          <w:cols w:space="720" w:num="1"/>
        </w:sectPr>
      </w:pPr>
    </w:p>
    <w:p w14:paraId="697B858D">
      <w:pPr>
        <w:pStyle w:val="2"/>
        <w:spacing w:line="328" w:lineRule="auto"/>
      </w:pPr>
    </w:p>
    <w:p w14:paraId="158BF96D">
      <w:pPr>
        <w:pStyle w:val="2"/>
        <w:spacing w:line="328" w:lineRule="auto"/>
      </w:pPr>
    </w:p>
    <w:p w14:paraId="1301F50C">
      <w:pPr>
        <w:spacing w:before="189" w:line="443" w:lineRule="exact"/>
        <w:ind w:left="2215"/>
        <w:outlineLvl w:val="0"/>
        <w:rPr>
          <w:rFonts w:ascii="微软雅黑" w:hAnsi="微软雅黑" w:eastAsia="微软雅黑" w:cs="微软雅黑"/>
          <w:sz w:val="44"/>
          <w:szCs w:val="44"/>
        </w:rPr>
      </w:pPr>
      <w:r>
        <w:rPr>
          <w:rFonts w:ascii="微软雅黑" w:hAnsi="微软雅黑" w:eastAsia="微软雅黑" w:cs="微软雅黑"/>
          <w:spacing w:val="1"/>
          <w:position w:val="-2"/>
          <w:sz w:val="44"/>
          <w:szCs w:val="44"/>
        </w:rPr>
        <w:t>第一部分</w:t>
      </w:r>
      <w:r>
        <w:rPr>
          <w:rFonts w:ascii="微软雅黑" w:hAnsi="微软雅黑" w:eastAsia="微软雅黑" w:cs="微软雅黑"/>
          <w:spacing w:val="14"/>
          <w:position w:val="-2"/>
          <w:sz w:val="44"/>
          <w:szCs w:val="44"/>
        </w:rPr>
        <w:t xml:space="preserve">   </w:t>
      </w:r>
      <w:r>
        <w:rPr>
          <w:rFonts w:ascii="微软雅黑" w:hAnsi="微软雅黑" w:eastAsia="微软雅黑" w:cs="微软雅黑"/>
          <w:spacing w:val="1"/>
          <w:position w:val="-2"/>
          <w:sz w:val="44"/>
          <w:szCs w:val="44"/>
        </w:rPr>
        <w:t>部门概况</w:t>
      </w:r>
    </w:p>
    <w:p w14:paraId="54A9D138">
      <w:pPr>
        <w:pStyle w:val="2"/>
        <w:spacing w:line="314" w:lineRule="auto"/>
      </w:pPr>
    </w:p>
    <w:p w14:paraId="4C1E7E1F">
      <w:pPr>
        <w:pStyle w:val="2"/>
        <w:spacing w:line="314" w:lineRule="auto"/>
      </w:pPr>
    </w:p>
    <w:p w14:paraId="3558D680">
      <w:pPr>
        <w:pStyle w:val="2"/>
        <w:spacing w:line="315" w:lineRule="auto"/>
      </w:pPr>
    </w:p>
    <w:p w14:paraId="67CFD3B6">
      <w:pPr>
        <w:spacing w:before="101" w:line="224" w:lineRule="auto"/>
        <w:ind w:left="751"/>
        <w:rPr>
          <w:rFonts w:ascii="黑体" w:hAnsi="黑体" w:eastAsia="黑体" w:cs="黑体"/>
          <w:sz w:val="31"/>
          <w:szCs w:val="31"/>
        </w:rPr>
      </w:pPr>
      <w:r>
        <w:rPr>
          <w:rFonts w:ascii="黑体" w:hAnsi="黑体" w:eastAsia="黑体" w:cs="黑体"/>
          <w:spacing w:val="7"/>
          <w:sz w:val="31"/>
          <w:szCs w:val="31"/>
        </w:rPr>
        <w:t>一、部门主要职责</w:t>
      </w:r>
    </w:p>
    <w:p w14:paraId="41D9160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sz w:val="32"/>
          <w:szCs w:val="32"/>
        </w:rPr>
      </w:pPr>
      <w:r>
        <w:rPr>
          <w:rFonts w:hint="eastAsia" w:ascii="仿宋" w:hAnsi="仿宋" w:eastAsia="仿宋"/>
          <w:sz w:val="32"/>
          <w:szCs w:val="32"/>
          <w:lang w:val="en-US" w:eastAsia="zh-CN"/>
        </w:rPr>
        <w:t>德惠市布海镇人民政府</w:t>
      </w:r>
      <w:r>
        <w:rPr>
          <w:rFonts w:hint="eastAsia" w:ascii="仿宋" w:hAnsi="仿宋" w:eastAsia="仿宋"/>
          <w:sz w:val="32"/>
          <w:szCs w:val="32"/>
        </w:rPr>
        <w:t>负责辖区各类组织、市级职能部门延伸机构和各项工作的领导核心，全面领导辖区经济、政治、文化、社会和生态文明建设对辖区党的建设和乡村振兴全面负责。</w:t>
      </w:r>
      <w:r>
        <w:rPr>
          <w:rFonts w:hint="eastAsia" w:ascii="仿宋" w:hAnsi="仿宋" w:eastAsia="仿宋"/>
          <w:sz w:val="32"/>
          <w:szCs w:val="32"/>
          <w:lang w:val="en-US" w:eastAsia="zh-CN"/>
        </w:rPr>
        <w:t>镇政府</w:t>
      </w:r>
      <w:r>
        <w:rPr>
          <w:rFonts w:hint="eastAsia" w:ascii="仿宋" w:hAnsi="仿宋" w:eastAsia="仿宋"/>
          <w:sz w:val="32"/>
          <w:szCs w:val="32"/>
        </w:rPr>
        <w:t>根据辖区内经济社会发展的特点和资源禀赋，确定功能定位，加快职能转变步伐，依法履行相应政府服务和管理职责，推进区域发展。</w:t>
      </w:r>
    </w:p>
    <w:p w14:paraId="5465810D">
      <w:pPr>
        <w:spacing w:before="251" w:line="224" w:lineRule="auto"/>
        <w:ind w:left="672"/>
        <w:rPr>
          <w:rFonts w:ascii="黑体" w:hAnsi="黑体" w:eastAsia="黑体" w:cs="黑体"/>
          <w:sz w:val="31"/>
          <w:szCs w:val="31"/>
        </w:rPr>
      </w:pPr>
      <w:r>
        <w:rPr>
          <w:rFonts w:ascii="黑体" w:hAnsi="黑体" w:eastAsia="黑体" w:cs="黑体"/>
          <w:spacing w:val="8"/>
          <w:sz w:val="31"/>
          <w:szCs w:val="31"/>
        </w:rPr>
        <w:t>二、机构设置及部门决算单位构成</w:t>
      </w:r>
    </w:p>
    <w:p w14:paraId="151D992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sz w:val="32"/>
          <w:szCs w:val="32"/>
        </w:rPr>
      </w:pPr>
      <w:r>
        <w:rPr>
          <w:rFonts w:hint="eastAsia" w:ascii="仿宋" w:hAnsi="仿宋" w:eastAsia="仿宋"/>
          <w:b/>
          <w:bCs/>
          <w:sz w:val="32"/>
          <w:szCs w:val="32"/>
        </w:rPr>
        <w:t>1、农业农村办公室</w:t>
      </w:r>
      <w:r>
        <w:rPr>
          <w:rFonts w:hint="eastAsia" w:ascii="仿宋" w:hAnsi="仿宋" w:eastAsia="仿宋"/>
          <w:b/>
          <w:bCs/>
          <w:sz w:val="32"/>
          <w:szCs w:val="32"/>
          <w:lang w:eastAsia="zh-CN"/>
        </w:rPr>
        <w:t>。</w:t>
      </w:r>
      <w:r>
        <w:rPr>
          <w:rFonts w:hint="eastAsia" w:ascii="仿宋" w:hAnsi="仿宋" w:eastAsia="仿宋"/>
          <w:sz w:val="32"/>
          <w:szCs w:val="32"/>
        </w:rPr>
        <w:t>主要负责农业信息收集，农情调查等工作；负责农业知识的宣传教育以及农作物病虫害预防监测，农产品质量跟踪，农民田间学校培训，耕地质量提升管理等工作</w:t>
      </w:r>
      <w:r>
        <w:rPr>
          <w:rFonts w:hint="eastAsia" w:ascii="仿宋" w:hAnsi="仿宋" w:eastAsia="仿宋"/>
          <w:sz w:val="32"/>
          <w:szCs w:val="32"/>
          <w:lang w:eastAsia="zh-CN"/>
        </w:rPr>
        <w:t>，</w:t>
      </w:r>
      <w:r>
        <w:rPr>
          <w:rFonts w:hint="eastAsia" w:ascii="仿宋" w:hAnsi="仿宋" w:eastAsia="仿宋"/>
          <w:sz w:val="32"/>
          <w:szCs w:val="32"/>
        </w:rPr>
        <w:t>负责农业先进技术、农业机械化技术引进，试验，示范，推广工作</w:t>
      </w:r>
      <w:r>
        <w:rPr>
          <w:rFonts w:hint="eastAsia" w:ascii="仿宋" w:hAnsi="仿宋" w:eastAsia="仿宋"/>
          <w:sz w:val="32"/>
          <w:szCs w:val="32"/>
          <w:lang w:eastAsia="zh-CN"/>
        </w:rPr>
        <w:t>，</w:t>
      </w:r>
      <w:r>
        <w:rPr>
          <w:rFonts w:hint="eastAsia" w:ascii="仿宋" w:hAnsi="仿宋" w:eastAsia="仿宋"/>
          <w:sz w:val="32"/>
          <w:szCs w:val="32"/>
        </w:rPr>
        <w:t>负责辖区内动物免疫的组织实施及动物疫情的普查、调查、监测工作；负责辖区内动物繁殖改良和新品种新技术推广工作；负责畜产品质量安全知识的宣传教育工作。</w:t>
      </w:r>
    </w:p>
    <w:p w14:paraId="68C5380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sz w:val="32"/>
          <w:szCs w:val="32"/>
          <w:lang w:eastAsia="zh-CN"/>
        </w:rPr>
      </w:pPr>
      <w:r>
        <w:rPr>
          <w:rFonts w:hint="eastAsia" w:ascii="仿宋" w:hAnsi="仿宋" w:eastAsia="仿宋"/>
          <w:b/>
          <w:bCs/>
          <w:sz w:val="32"/>
          <w:szCs w:val="32"/>
          <w:lang w:val="en-US" w:eastAsia="zh-CN"/>
        </w:rPr>
        <w:t>2</w:t>
      </w:r>
      <w:r>
        <w:rPr>
          <w:rFonts w:hint="eastAsia" w:ascii="仿宋" w:hAnsi="仿宋" w:eastAsia="仿宋"/>
          <w:b/>
          <w:bCs/>
          <w:sz w:val="32"/>
          <w:szCs w:val="32"/>
        </w:rPr>
        <w:t>、社会事务办公室</w:t>
      </w:r>
      <w:r>
        <w:rPr>
          <w:rFonts w:hint="eastAsia" w:ascii="仿宋" w:hAnsi="仿宋" w:eastAsia="仿宋"/>
          <w:b/>
          <w:bCs/>
          <w:sz w:val="32"/>
          <w:szCs w:val="32"/>
          <w:lang w:eastAsia="zh-CN"/>
        </w:rPr>
        <w:t>。</w:t>
      </w:r>
      <w:r>
        <w:rPr>
          <w:rFonts w:hint="eastAsia" w:ascii="仿宋" w:hAnsi="仿宋" w:eastAsia="仿宋"/>
          <w:sz w:val="32"/>
          <w:szCs w:val="32"/>
        </w:rPr>
        <w:t>主要负责辖区内退役军人就业创业扶持；农村劳动力资源调查及转移培训就业，城乡就业失业登记，维护劳动者合法权益，调解劳动、人事争议、配合做好便民服务平台工作</w:t>
      </w:r>
      <w:r>
        <w:rPr>
          <w:rFonts w:hint="eastAsia" w:ascii="仿宋" w:hAnsi="仿宋" w:eastAsia="仿宋"/>
          <w:sz w:val="32"/>
          <w:szCs w:val="32"/>
          <w:lang w:eastAsia="zh-CN"/>
        </w:rPr>
        <w:t>，</w:t>
      </w:r>
      <w:r>
        <w:rPr>
          <w:rFonts w:hint="eastAsia" w:ascii="仿宋" w:hAnsi="仿宋" w:eastAsia="仿宋"/>
          <w:sz w:val="32"/>
          <w:szCs w:val="32"/>
        </w:rPr>
        <w:t>负责文化、旅游、体育等工作，负责农村文化大院管理，农家书屋管理等</w:t>
      </w:r>
      <w:r>
        <w:rPr>
          <w:rFonts w:hint="eastAsia" w:ascii="仿宋" w:hAnsi="仿宋" w:eastAsia="仿宋"/>
          <w:sz w:val="32"/>
          <w:szCs w:val="32"/>
          <w:lang w:eastAsia="zh-CN"/>
        </w:rPr>
        <w:t>，</w:t>
      </w:r>
      <w:r>
        <w:rPr>
          <w:rFonts w:hint="eastAsia" w:ascii="仿宋" w:hAnsi="仿宋" w:eastAsia="仿宋"/>
          <w:sz w:val="32"/>
          <w:szCs w:val="32"/>
        </w:rPr>
        <w:t>负责辖区内育龄妇女优生优育筛查，妇女两癌筛查，出生人口统计报表，计生奖扶和特扶家庭补助办理</w:t>
      </w:r>
      <w:r>
        <w:rPr>
          <w:rFonts w:hint="eastAsia" w:ascii="仿宋" w:hAnsi="仿宋" w:eastAsia="仿宋"/>
          <w:sz w:val="32"/>
          <w:szCs w:val="32"/>
          <w:lang w:eastAsia="zh-CN"/>
        </w:rPr>
        <w:t>。</w:t>
      </w:r>
    </w:p>
    <w:p w14:paraId="5011A64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、城乡建设管理办公室</w:t>
      </w:r>
      <w:r>
        <w:rPr>
          <w:rFonts w:hint="eastAsia" w:ascii="仿宋" w:hAnsi="仿宋" w:eastAsia="仿宋"/>
          <w:b/>
          <w:bCs/>
          <w:sz w:val="32"/>
          <w:szCs w:val="32"/>
          <w:lang w:eastAsia="zh-CN"/>
        </w:rPr>
        <w:t>。</w:t>
      </w:r>
      <w:r>
        <w:rPr>
          <w:rFonts w:hint="eastAsia" w:ascii="仿宋" w:hAnsi="仿宋" w:eastAsia="仿宋"/>
          <w:sz w:val="32"/>
          <w:szCs w:val="32"/>
        </w:rPr>
        <w:t>落实住房和城乡建设、自然资源管理、生态环境保护、市容和环境卫生管理、道路交通、人民防空等工作。负责基础设施养护和管理，防违控违拆违等工作。承担相关开发建设项目的征地拆迁和安置工作。指导特色小城镇建设和传统村落、传统建筑的保护和发展工作。负责对辖区内物业服务的监督指导，对辖区住宅小区开展综合管理。</w:t>
      </w:r>
    </w:p>
    <w:p w14:paraId="30D7E2F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、综合行政执法办公室。</w:t>
      </w:r>
      <w:r>
        <w:rPr>
          <w:rFonts w:hint="eastAsia" w:ascii="仿宋" w:hAnsi="仿宋" w:eastAsia="仿宋"/>
          <w:sz w:val="32"/>
          <w:szCs w:val="32"/>
        </w:rPr>
        <w:t>负责统筹协调组织指挥辖区内派驻和基层执法力量实行联合执法，代表</w:t>
      </w:r>
      <w:r>
        <w:rPr>
          <w:rFonts w:hint="eastAsia" w:ascii="仿宋" w:hAnsi="仿宋" w:eastAsia="仿宋"/>
          <w:sz w:val="32"/>
          <w:szCs w:val="32"/>
          <w:lang w:val="en-US" w:eastAsia="zh-CN"/>
        </w:rPr>
        <w:t>镇政府</w:t>
      </w:r>
      <w:r>
        <w:rPr>
          <w:rFonts w:hint="eastAsia" w:ascii="仿宋" w:hAnsi="仿宋" w:eastAsia="仿宋"/>
          <w:sz w:val="32"/>
          <w:szCs w:val="32"/>
        </w:rPr>
        <w:t>履行规定范围内的行政执法职责。落实对上级职能部门派驻工作力量的指挥调度和考核监督权。牵头负责综合行政执法平台工作。</w:t>
      </w:r>
    </w:p>
    <w:p w14:paraId="3F026C8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w:t>
      </w:r>
      <w:r>
        <w:rPr>
          <w:rFonts w:hint="eastAsia" w:ascii="仿宋" w:hAnsi="仿宋" w:eastAsia="仿宋"/>
          <w:b/>
          <w:bCs/>
          <w:sz w:val="32"/>
          <w:szCs w:val="32"/>
          <w:lang w:val="en-US" w:eastAsia="zh-CN"/>
        </w:rPr>
        <w:t>平安建设办公室。</w:t>
      </w:r>
      <w:r>
        <w:rPr>
          <w:rFonts w:hint="eastAsia" w:ascii="仿宋" w:hAnsi="仿宋" w:eastAsia="仿宋"/>
          <w:sz w:val="32"/>
          <w:szCs w:val="32"/>
        </w:rPr>
        <w:t>平安建设办公室(应急管理办公室)。组织推进依法治镇，负责平安建设、综合治理、应急管理、维护稳定等工作。协调开展邪教防范、法治宣传、社区戒毒、社区矫正、刑满释放人员安置帮教工作。指导督促辖区单位和村民落实消防、安全生产、食品安全等工作。受理人民群众来信来访，反映社情民意，调处化解矛盾纠纷。组织协调相关部门共同解决辖区内的治安问题。负责辖区“多网合一”及网格建设和管理工作。负责应急体系建设、应急响应和防灾减灾救灾相关工作。牵头负责社会治安综合治理平台工作。</w:t>
      </w:r>
    </w:p>
    <w:p w14:paraId="2513A19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sz w:val="32"/>
          <w:szCs w:val="32"/>
        </w:rPr>
      </w:pPr>
      <w:r>
        <w:rPr>
          <w:rFonts w:hint="eastAsia" w:ascii="仿宋" w:hAnsi="仿宋" w:eastAsia="仿宋"/>
          <w:b/>
          <w:bCs/>
          <w:sz w:val="32"/>
          <w:szCs w:val="32"/>
          <w:lang w:val="en-US" w:eastAsia="zh-CN"/>
        </w:rPr>
        <w:t>6</w:t>
      </w:r>
      <w:r>
        <w:rPr>
          <w:rFonts w:hint="eastAsia" w:ascii="仿宋" w:hAnsi="仿宋" w:eastAsia="仿宋"/>
          <w:b/>
          <w:bCs/>
          <w:sz w:val="32"/>
          <w:szCs w:val="32"/>
        </w:rPr>
        <w:t>、</w:t>
      </w:r>
      <w:r>
        <w:rPr>
          <w:rFonts w:hint="eastAsia" w:ascii="仿宋" w:hAnsi="仿宋" w:eastAsia="仿宋"/>
          <w:b/>
          <w:bCs/>
          <w:sz w:val="32"/>
          <w:szCs w:val="32"/>
          <w:lang w:val="en-US" w:eastAsia="zh-CN"/>
        </w:rPr>
        <w:t>综合办公室</w:t>
      </w:r>
      <w:r>
        <w:rPr>
          <w:rFonts w:hint="eastAsia" w:ascii="仿宋" w:hAnsi="仿宋" w:eastAsia="仿宋"/>
          <w:b/>
          <w:bCs/>
          <w:sz w:val="32"/>
          <w:szCs w:val="32"/>
        </w:rPr>
        <w:t>。</w:t>
      </w:r>
      <w:r>
        <w:rPr>
          <w:rFonts w:hint="eastAsia" w:ascii="仿宋" w:hAnsi="仿宋" w:eastAsia="仿宋"/>
          <w:sz w:val="32"/>
          <w:szCs w:val="32"/>
        </w:rPr>
        <w:t>负责机关日常运转，承担文电、会务、机要、保密、档案、检查督办、政务公开、信息化建设、后勤保障等工作。</w:t>
      </w:r>
    </w:p>
    <w:p w14:paraId="0D78C0D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sz w:val="32"/>
          <w:szCs w:val="32"/>
          <w:lang w:eastAsia="zh-CN"/>
        </w:rPr>
      </w:pPr>
      <w:r>
        <w:rPr>
          <w:rFonts w:hint="eastAsia" w:ascii="仿宋" w:hAnsi="仿宋" w:eastAsia="仿宋"/>
          <w:b/>
          <w:bCs/>
          <w:sz w:val="32"/>
          <w:szCs w:val="32"/>
          <w:lang w:val="en-US" w:eastAsia="zh-CN"/>
        </w:rPr>
        <w:t>7</w:t>
      </w:r>
      <w:r>
        <w:rPr>
          <w:rFonts w:hint="eastAsia" w:ascii="仿宋" w:hAnsi="仿宋" w:eastAsia="仿宋"/>
          <w:b/>
          <w:bCs/>
          <w:sz w:val="32"/>
          <w:szCs w:val="32"/>
        </w:rPr>
        <w:t>、党建工作办公室。</w:t>
      </w:r>
      <w:r>
        <w:rPr>
          <w:rFonts w:hint="eastAsia" w:ascii="仿宋" w:hAnsi="仿宋" w:eastAsia="仿宋"/>
          <w:sz w:val="32"/>
          <w:szCs w:val="32"/>
        </w:rPr>
        <w:t>负责党的政治建设、组织建设和宣传、意识形态、精神文明建设、统战(民族宗教)等工作。统筹协调辖区内各领域党建工作，抓好新领域新业态新群体党建，推进镇、村党建与单位党建、行业党建、区域化党建互联互动。负责干部队伍建设及干部人事、机关党务、机构编制、老干部工作，协调管理派驻机构人员，落实镇对部门派出机构负责人人事考核权、选拔任用的征得同意权和对驻镇单位创先争优、文明单位创建的审核建议权。负责指导工会、共青团、妇联等群团工作</w:t>
      </w:r>
      <w:r>
        <w:rPr>
          <w:rFonts w:hint="eastAsia" w:ascii="仿宋" w:hAnsi="仿宋" w:eastAsia="仿宋"/>
          <w:sz w:val="32"/>
          <w:szCs w:val="32"/>
          <w:lang w:eastAsia="zh-CN"/>
        </w:rPr>
        <w:t>，</w:t>
      </w:r>
      <w:r>
        <w:rPr>
          <w:rFonts w:hint="eastAsia" w:ascii="仿宋" w:hAnsi="仿宋" w:eastAsia="仿宋"/>
          <w:sz w:val="32"/>
          <w:szCs w:val="32"/>
        </w:rPr>
        <w:t>联络服务党代会代表、人大代表和政协委员</w:t>
      </w:r>
      <w:r>
        <w:rPr>
          <w:rFonts w:hint="eastAsia" w:ascii="仿宋" w:hAnsi="仿宋" w:eastAsia="仿宋"/>
          <w:sz w:val="32"/>
          <w:szCs w:val="32"/>
          <w:lang w:eastAsia="zh-CN"/>
        </w:rPr>
        <w:t>，</w:t>
      </w:r>
      <w:r>
        <w:rPr>
          <w:rFonts w:hint="eastAsia" w:ascii="仿宋" w:hAnsi="仿宋" w:eastAsia="仿宋"/>
          <w:sz w:val="32"/>
          <w:szCs w:val="32"/>
        </w:rPr>
        <w:t>统筹推进辖区人才工作</w:t>
      </w:r>
      <w:r>
        <w:rPr>
          <w:rFonts w:hint="eastAsia" w:ascii="仿宋" w:hAnsi="仿宋" w:eastAsia="仿宋"/>
          <w:sz w:val="32"/>
          <w:szCs w:val="32"/>
          <w:lang w:eastAsia="zh-CN"/>
        </w:rPr>
        <w:t>，</w:t>
      </w:r>
      <w:r>
        <w:rPr>
          <w:rFonts w:hint="eastAsia" w:ascii="仿宋" w:hAnsi="仿宋" w:eastAsia="仿宋"/>
          <w:sz w:val="32"/>
          <w:szCs w:val="32"/>
        </w:rPr>
        <w:t>领导村民自治工作</w:t>
      </w:r>
      <w:r>
        <w:rPr>
          <w:rFonts w:hint="eastAsia" w:ascii="仿宋" w:hAnsi="仿宋" w:eastAsia="仿宋"/>
          <w:sz w:val="32"/>
          <w:szCs w:val="32"/>
          <w:lang w:eastAsia="zh-CN"/>
        </w:rPr>
        <w:t>，</w:t>
      </w:r>
      <w:r>
        <w:rPr>
          <w:rFonts w:hint="eastAsia" w:ascii="仿宋" w:hAnsi="仿宋" w:eastAsia="仿宋"/>
          <w:sz w:val="32"/>
          <w:szCs w:val="32"/>
        </w:rPr>
        <w:t>牵头负责党群服务平台工作</w:t>
      </w:r>
      <w:r>
        <w:rPr>
          <w:rFonts w:hint="eastAsia" w:ascii="仿宋" w:hAnsi="仿宋" w:eastAsia="仿宋"/>
          <w:sz w:val="32"/>
          <w:szCs w:val="32"/>
          <w:lang w:eastAsia="zh-CN"/>
        </w:rPr>
        <w:t>。</w:t>
      </w:r>
    </w:p>
    <w:p w14:paraId="325FC5A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sz w:val="32"/>
          <w:szCs w:val="32"/>
        </w:rPr>
      </w:pPr>
      <w:r>
        <w:rPr>
          <w:rFonts w:hint="eastAsia" w:ascii="仿宋" w:hAnsi="仿宋" w:eastAsia="仿宋"/>
          <w:b/>
          <w:bCs/>
          <w:sz w:val="32"/>
          <w:szCs w:val="32"/>
          <w:lang w:val="en-US" w:eastAsia="zh-CN"/>
        </w:rPr>
        <w:t>8</w:t>
      </w:r>
      <w:r>
        <w:rPr>
          <w:rFonts w:hint="eastAsia" w:ascii="仿宋" w:hAnsi="仿宋" w:eastAsia="仿宋"/>
          <w:b/>
          <w:bCs/>
          <w:sz w:val="32"/>
          <w:szCs w:val="32"/>
        </w:rPr>
        <w:t>、财政经济办公室。</w:t>
      </w:r>
      <w:r>
        <w:rPr>
          <w:rFonts w:hint="eastAsia" w:ascii="仿宋" w:hAnsi="仿宋" w:eastAsia="仿宋"/>
          <w:sz w:val="32"/>
          <w:szCs w:val="32"/>
        </w:rPr>
        <w:t>负责辖区内产业发展规划的拟定落实工作</w:t>
      </w:r>
      <w:r>
        <w:rPr>
          <w:rFonts w:hint="eastAsia" w:ascii="仿宋" w:hAnsi="仿宋" w:eastAsia="仿宋"/>
          <w:sz w:val="32"/>
          <w:szCs w:val="32"/>
          <w:lang w:eastAsia="zh-CN"/>
        </w:rPr>
        <w:t>，</w:t>
      </w:r>
      <w:r>
        <w:rPr>
          <w:rFonts w:hint="eastAsia" w:ascii="仿宋" w:hAnsi="仿宋" w:eastAsia="仿宋"/>
          <w:sz w:val="32"/>
          <w:szCs w:val="32"/>
        </w:rPr>
        <w:t>落实经济发展相关政策，统筹推动产业协调发展、经济结构调整、经济增长方式转变</w:t>
      </w:r>
      <w:r>
        <w:rPr>
          <w:rFonts w:hint="eastAsia" w:ascii="仿宋" w:hAnsi="仿宋" w:eastAsia="仿宋"/>
          <w:sz w:val="32"/>
          <w:szCs w:val="32"/>
          <w:lang w:eastAsia="zh-CN"/>
        </w:rPr>
        <w:t>，</w:t>
      </w:r>
      <w:r>
        <w:rPr>
          <w:rFonts w:hint="eastAsia" w:ascii="仿宋" w:hAnsi="仿宋" w:eastAsia="仿宋"/>
          <w:sz w:val="32"/>
          <w:szCs w:val="32"/>
        </w:rPr>
        <w:t>统筹落实辖区发展的重大决策和辖区建设规划，强化对涉及本区域内人民群众利益的重大决策、重大项目和公共服务设施布局的参与权和建议权,推动辖区健康、有序、可持续发展。统筹协调辖区企业及其他市场主体联系服务工作，营造良好营商环境。承担辖区内财政、审计、国有资产管理、工业、商贸、科技、统计等方面相关工作。</w:t>
      </w:r>
    </w:p>
    <w:p w14:paraId="2A208C6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pacing w:val="8"/>
          <w:sz w:val="32"/>
          <w:szCs w:val="32"/>
        </w:rPr>
      </w:pPr>
      <w:r>
        <w:rPr>
          <w:rFonts w:hint="eastAsia" w:ascii="仿宋" w:hAnsi="仿宋" w:eastAsia="仿宋"/>
          <w:sz w:val="32"/>
          <w:szCs w:val="32"/>
        </w:rPr>
        <w:t>镇人大、纪检监察、人武、工会、共青团、妇联等组织按有关规定设置并开展工作。</w:t>
      </w:r>
      <w:bookmarkStart w:id="0" w:name="_GoBack"/>
      <w:bookmarkEnd w:id="0"/>
    </w:p>
    <w:p w14:paraId="587EE367">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firstLine="640" w:firstLineChars="0"/>
        <w:jc w:val="both"/>
        <w:textAlignment w:val="baseline"/>
        <w:rPr>
          <w:rFonts w:ascii="黑体" w:hAnsi="黑体" w:eastAsia="黑体" w:cs="黑体"/>
          <w:spacing w:val="8"/>
          <w:sz w:val="32"/>
          <w:szCs w:val="32"/>
        </w:rPr>
      </w:pPr>
      <w:r>
        <w:rPr>
          <w:rFonts w:ascii="黑体" w:hAnsi="黑体" w:eastAsia="黑体" w:cs="黑体"/>
          <w:spacing w:val="8"/>
          <w:sz w:val="32"/>
          <w:szCs w:val="32"/>
        </w:rPr>
        <w:t>机构设置及部门决算单位构成</w:t>
      </w:r>
    </w:p>
    <w:p w14:paraId="403F1AB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jc w:val="both"/>
        <w:textAlignment w:val="baseline"/>
        <w:rPr>
          <w:rFonts w:hint="eastAsia" w:ascii="仿宋" w:hAnsi="仿宋" w:eastAsia="仿宋"/>
          <w:sz w:val="32"/>
          <w:szCs w:val="32"/>
        </w:rPr>
      </w:pPr>
      <w:r>
        <w:rPr>
          <w:rFonts w:hint="eastAsia" w:ascii="仿宋" w:hAnsi="仿宋" w:eastAsia="仿宋"/>
          <w:sz w:val="32"/>
          <w:szCs w:val="32"/>
        </w:rPr>
        <w:t>根据上述职责，</w:t>
      </w:r>
      <w:r>
        <w:rPr>
          <w:rFonts w:hint="eastAsia" w:ascii="仿宋" w:hAnsi="仿宋" w:eastAsia="仿宋"/>
          <w:sz w:val="32"/>
          <w:szCs w:val="32"/>
          <w:lang w:val="en-US" w:eastAsia="zh-CN"/>
        </w:rPr>
        <w:t>镇</w:t>
      </w:r>
      <w:r>
        <w:rPr>
          <w:rFonts w:hint="eastAsia" w:ascii="仿宋" w:hAnsi="仿宋" w:eastAsia="仿宋"/>
          <w:sz w:val="32"/>
          <w:szCs w:val="32"/>
        </w:rPr>
        <w:t>党委、政府设下列综合性事务机构：1、综合办公室</w:t>
      </w:r>
      <w:r>
        <w:rPr>
          <w:rFonts w:hint="eastAsia" w:ascii="仿宋" w:hAnsi="仿宋" w:eastAsia="仿宋"/>
          <w:sz w:val="32"/>
          <w:szCs w:val="32"/>
          <w:lang w:val="en-US" w:eastAsia="zh-CN"/>
        </w:rPr>
        <w:t xml:space="preserve"> </w:t>
      </w:r>
      <w:r>
        <w:rPr>
          <w:rFonts w:hint="eastAsia" w:ascii="仿宋" w:hAnsi="仿宋" w:eastAsia="仿宋"/>
          <w:sz w:val="32"/>
          <w:szCs w:val="32"/>
        </w:rPr>
        <w:t>2、党建办公室</w:t>
      </w:r>
      <w:r>
        <w:rPr>
          <w:rFonts w:hint="eastAsia" w:ascii="仿宋" w:hAnsi="仿宋" w:eastAsia="仿宋"/>
          <w:sz w:val="32"/>
          <w:szCs w:val="32"/>
          <w:lang w:val="en-US" w:eastAsia="zh-CN"/>
        </w:rPr>
        <w:t xml:space="preserve"> </w:t>
      </w:r>
      <w:r>
        <w:rPr>
          <w:rFonts w:hint="eastAsia" w:ascii="仿宋" w:hAnsi="仿宋" w:eastAsia="仿宋"/>
          <w:sz w:val="32"/>
          <w:szCs w:val="32"/>
        </w:rPr>
        <w:t>3、社会事务办公室</w:t>
      </w:r>
      <w:r>
        <w:rPr>
          <w:rFonts w:hint="eastAsia" w:ascii="仿宋" w:hAnsi="仿宋" w:eastAsia="仿宋"/>
          <w:sz w:val="32"/>
          <w:szCs w:val="32"/>
          <w:lang w:val="en-US" w:eastAsia="zh-CN"/>
        </w:rPr>
        <w:t xml:space="preserve"> </w:t>
      </w:r>
      <w:r>
        <w:rPr>
          <w:rFonts w:hint="eastAsia" w:ascii="仿宋" w:hAnsi="仿宋" w:eastAsia="仿宋"/>
          <w:sz w:val="32"/>
          <w:szCs w:val="32"/>
        </w:rPr>
        <w:t>4、平安建设办公室</w:t>
      </w:r>
      <w:r>
        <w:rPr>
          <w:rFonts w:hint="eastAsia" w:ascii="仿宋" w:hAnsi="仿宋" w:eastAsia="仿宋"/>
          <w:sz w:val="32"/>
          <w:szCs w:val="32"/>
          <w:lang w:val="en-US" w:eastAsia="zh-CN"/>
        </w:rPr>
        <w:t xml:space="preserve"> </w:t>
      </w:r>
      <w:r>
        <w:rPr>
          <w:rFonts w:hint="eastAsia" w:ascii="仿宋" w:hAnsi="仿宋" w:eastAsia="仿宋"/>
          <w:sz w:val="32"/>
          <w:szCs w:val="32"/>
        </w:rPr>
        <w:t>5、农业农村办公室</w:t>
      </w:r>
      <w:r>
        <w:rPr>
          <w:rFonts w:hint="eastAsia" w:ascii="仿宋" w:hAnsi="仿宋" w:eastAsia="仿宋"/>
          <w:sz w:val="32"/>
          <w:szCs w:val="32"/>
          <w:lang w:val="en-US" w:eastAsia="zh-CN"/>
        </w:rPr>
        <w:t xml:space="preserve"> </w:t>
      </w:r>
      <w:r>
        <w:rPr>
          <w:rFonts w:hint="eastAsia" w:ascii="仿宋" w:hAnsi="仿宋" w:eastAsia="仿宋"/>
          <w:sz w:val="32"/>
          <w:szCs w:val="32"/>
        </w:rPr>
        <w:t>6、综合行政执法办公室</w:t>
      </w:r>
      <w:r>
        <w:rPr>
          <w:rFonts w:hint="eastAsia" w:ascii="仿宋" w:hAnsi="仿宋" w:eastAsia="仿宋"/>
          <w:sz w:val="32"/>
          <w:szCs w:val="32"/>
          <w:lang w:val="en-US" w:eastAsia="zh-CN"/>
        </w:rPr>
        <w:t xml:space="preserve"> </w:t>
      </w:r>
      <w:r>
        <w:rPr>
          <w:rFonts w:hint="eastAsia" w:ascii="仿宋" w:hAnsi="仿宋" w:eastAsia="仿宋"/>
          <w:sz w:val="32"/>
          <w:szCs w:val="32"/>
        </w:rPr>
        <w:t>7、财政经济办公室</w:t>
      </w:r>
      <w:r>
        <w:rPr>
          <w:rFonts w:hint="eastAsia" w:ascii="仿宋" w:hAnsi="仿宋" w:eastAsia="仿宋"/>
          <w:sz w:val="32"/>
          <w:szCs w:val="32"/>
          <w:lang w:val="en-US" w:eastAsia="zh-CN"/>
        </w:rPr>
        <w:t xml:space="preserve"> </w:t>
      </w:r>
      <w:r>
        <w:rPr>
          <w:rFonts w:hint="eastAsia" w:ascii="仿宋" w:hAnsi="仿宋" w:eastAsia="仿宋"/>
          <w:sz w:val="32"/>
          <w:szCs w:val="32"/>
        </w:rPr>
        <w:t>8、城乡建设办公室。</w:t>
      </w:r>
      <w:r>
        <w:rPr>
          <w:rFonts w:hint="eastAsia" w:ascii="仿宋" w:hAnsi="仿宋" w:eastAsia="仿宋"/>
          <w:sz w:val="32"/>
          <w:szCs w:val="32"/>
          <w:lang w:val="en-US" w:eastAsia="zh-CN"/>
        </w:rPr>
        <w:t>镇</w:t>
      </w:r>
      <w:r>
        <w:rPr>
          <w:rFonts w:hint="eastAsia" w:ascii="仿宋" w:hAnsi="仿宋" w:eastAsia="仿宋"/>
          <w:sz w:val="32"/>
          <w:szCs w:val="32"/>
        </w:rPr>
        <w:t>人大、纪检监察、人武、工会、共青团、妇联等组织按有关规定设置并开展工作。</w:t>
      </w:r>
      <w:r>
        <w:rPr>
          <w:rFonts w:hint="eastAsia" w:ascii="仿宋" w:hAnsi="仿宋" w:eastAsia="仿宋"/>
          <w:sz w:val="32"/>
          <w:szCs w:val="32"/>
          <w:lang w:val="en-US" w:eastAsia="zh-CN"/>
        </w:rPr>
        <w:t>布海镇</w:t>
      </w:r>
      <w:r>
        <w:rPr>
          <w:rFonts w:hint="eastAsia" w:ascii="仿宋" w:hAnsi="仿宋" w:eastAsia="仿宋"/>
          <w:sz w:val="32"/>
          <w:szCs w:val="32"/>
        </w:rPr>
        <w:t>机关行政编制</w:t>
      </w:r>
      <w:r>
        <w:rPr>
          <w:rFonts w:hint="eastAsia" w:ascii="仿宋" w:hAnsi="仿宋" w:eastAsia="仿宋"/>
          <w:sz w:val="32"/>
          <w:szCs w:val="32"/>
          <w:lang w:val="en-US" w:eastAsia="zh-CN"/>
        </w:rPr>
        <w:t>25</w:t>
      </w:r>
      <w:r>
        <w:rPr>
          <w:rFonts w:hint="eastAsia" w:ascii="仿宋" w:hAnsi="仿宋" w:eastAsia="仿宋"/>
          <w:sz w:val="32"/>
          <w:szCs w:val="32"/>
        </w:rPr>
        <w:t>名。</w:t>
      </w:r>
    </w:p>
    <w:p w14:paraId="4D4F9A1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jc w:val="both"/>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布海镇</w:t>
      </w:r>
      <w:r>
        <w:rPr>
          <w:rFonts w:hint="eastAsia" w:ascii="仿宋" w:hAnsi="仿宋" w:eastAsia="仿宋"/>
          <w:sz w:val="32"/>
          <w:szCs w:val="32"/>
        </w:rPr>
        <w:t>人民政府下设</w:t>
      </w:r>
      <w:r>
        <w:rPr>
          <w:rFonts w:hint="eastAsia" w:ascii="仿宋" w:hAnsi="仿宋" w:eastAsia="仿宋"/>
          <w:sz w:val="32"/>
          <w:szCs w:val="32"/>
          <w:lang w:val="en-US" w:eastAsia="zh-CN"/>
        </w:rPr>
        <w:t>1</w:t>
      </w:r>
      <w:r>
        <w:rPr>
          <w:rFonts w:hint="eastAsia" w:ascii="仿宋" w:hAnsi="仿宋" w:eastAsia="仿宋"/>
          <w:sz w:val="32"/>
          <w:szCs w:val="32"/>
        </w:rPr>
        <w:t>个事业单位是：1、德惠市</w:t>
      </w:r>
      <w:r>
        <w:rPr>
          <w:rFonts w:hint="eastAsia" w:ascii="仿宋" w:hAnsi="仿宋" w:eastAsia="仿宋"/>
          <w:sz w:val="32"/>
          <w:szCs w:val="32"/>
          <w:lang w:eastAsia="zh-CN"/>
        </w:rPr>
        <w:t>布海镇</w:t>
      </w:r>
      <w:r>
        <w:rPr>
          <w:rFonts w:hint="eastAsia" w:ascii="仿宋" w:hAnsi="仿宋" w:eastAsia="仿宋"/>
          <w:sz w:val="32"/>
          <w:szCs w:val="32"/>
          <w:lang w:val="en-US" w:eastAsia="zh-CN"/>
        </w:rPr>
        <w:t>综合服务中心</w:t>
      </w:r>
      <w:r>
        <w:rPr>
          <w:rFonts w:hint="eastAsia" w:ascii="仿宋" w:hAnsi="仿宋" w:eastAsia="仿宋"/>
          <w:sz w:val="32"/>
          <w:szCs w:val="32"/>
        </w:rPr>
        <w:t>，</w:t>
      </w:r>
      <w:r>
        <w:rPr>
          <w:rFonts w:hint="eastAsia" w:ascii="仿宋" w:hAnsi="仿宋" w:eastAsia="仿宋"/>
          <w:sz w:val="32"/>
          <w:szCs w:val="32"/>
          <w:lang w:val="en-US" w:eastAsia="zh-CN"/>
        </w:rPr>
        <w:t>在职人数71人。</w:t>
      </w:r>
    </w:p>
    <w:p w14:paraId="4707536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sz w:val="32"/>
          <w:szCs w:val="32"/>
        </w:rPr>
      </w:pPr>
      <w:r>
        <w:rPr>
          <w:rFonts w:hint="eastAsia" w:ascii="仿宋" w:hAnsi="仿宋" w:eastAsia="仿宋"/>
          <w:sz w:val="32"/>
          <w:szCs w:val="32"/>
        </w:rPr>
        <w:t>纳入德惠市</w:t>
      </w:r>
      <w:r>
        <w:rPr>
          <w:rFonts w:hint="eastAsia" w:ascii="仿宋" w:hAnsi="仿宋" w:eastAsia="仿宋"/>
          <w:sz w:val="32"/>
          <w:szCs w:val="32"/>
          <w:lang w:val="en-US" w:eastAsia="zh-CN"/>
        </w:rPr>
        <w:t>布海镇</w:t>
      </w:r>
      <w:r>
        <w:rPr>
          <w:rFonts w:hint="eastAsia" w:ascii="仿宋" w:hAnsi="仿宋" w:eastAsia="仿宋"/>
          <w:sz w:val="32"/>
          <w:szCs w:val="32"/>
        </w:rPr>
        <w:t>人民政府</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sz w:val="32"/>
          <w:szCs w:val="32"/>
        </w:rPr>
        <w:t>年度部门决算编制范围的单位包括：</w:t>
      </w:r>
    </w:p>
    <w:p w14:paraId="64DD42C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sz w:val="32"/>
          <w:szCs w:val="32"/>
        </w:rPr>
      </w:pPr>
      <w:r>
        <w:rPr>
          <w:rFonts w:hint="eastAsia" w:ascii="仿宋" w:hAnsi="仿宋" w:eastAsia="仿宋"/>
          <w:sz w:val="32"/>
          <w:szCs w:val="32"/>
        </w:rPr>
        <w:t>1.德惠市</w:t>
      </w:r>
      <w:r>
        <w:rPr>
          <w:rFonts w:hint="eastAsia" w:ascii="仿宋" w:hAnsi="仿宋" w:eastAsia="仿宋"/>
          <w:sz w:val="32"/>
          <w:szCs w:val="32"/>
          <w:lang w:val="en-US" w:eastAsia="zh-CN"/>
        </w:rPr>
        <w:t>布海镇</w:t>
      </w:r>
      <w:r>
        <w:rPr>
          <w:rFonts w:hint="eastAsia" w:ascii="仿宋" w:hAnsi="仿宋" w:eastAsia="仿宋"/>
          <w:sz w:val="32"/>
          <w:szCs w:val="32"/>
        </w:rPr>
        <w:t>人民政府本级</w:t>
      </w:r>
    </w:p>
    <w:p w14:paraId="36C2CC9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 w:hAnsi="仿宋" w:eastAsia="仿宋" w:cs="仿宋"/>
          <w:sz w:val="32"/>
          <w:szCs w:val="32"/>
        </w:rPr>
        <w:sectPr>
          <w:footerReference r:id="rId8" w:type="default"/>
          <w:pgSz w:w="11907" w:h="16839"/>
          <w:pgMar w:top="1587" w:right="1587" w:bottom="1587" w:left="1587" w:header="0" w:footer="964" w:gutter="0"/>
          <w:pgNumType w:fmt="decimal" w:start="1"/>
          <w:cols w:space="0" w:num="1"/>
          <w:rtlGutter w:val="0"/>
          <w:docGrid w:linePitch="0" w:charSpace="0"/>
        </w:sectPr>
      </w:pPr>
      <w:r>
        <w:rPr>
          <w:rFonts w:hint="eastAsia" w:ascii="仿宋" w:hAnsi="仿宋" w:eastAsia="仿宋"/>
          <w:sz w:val="32"/>
          <w:szCs w:val="32"/>
        </w:rPr>
        <w:t>2.</w:t>
      </w:r>
      <w:r>
        <w:rPr>
          <w:rFonts w:hint="eastAsia" w:ascii="仿宋" w:hAnsi="仿宋" w:eastAsia="仿宋"/>
          <w:sz w:val="32"/>
          <w:szCs w:val="32"/>
          <w:lang w:val="en-US" w:eastAsia="zh-CN"/>
        </w:rPr>
        <w:t>德惠市布海镇综合服务中心</w:t>
      </w:r>
    </w:p>
    <w:p w14:paraId="69BDD6AE">
      <w:pPr>
        <w:pStyle w:val="2"/>
        <w:spacing w:line="328" w:lineRule="auto"/>
      </w:pPr>
    </w:p>
    <w:p w14:paraId="21964BE2">
      <w:pPr>
        <w:pStyle w:val="2"/>
        <w:spacing w:line="328" w:lineRule="auto"/>
      </w:pPr>
    </w:p>
    <w:p w14:paraId="5087030A">
      <w:pPr>
        <w:spacing w:before="189" w:line="186" w:lineRule="auto"/>
        <w:ind w:left="1142"/>
        <w:rPr>
          <w:rFonts w:ascii="微软雅黑" w:hAnsi="微软雅黑" w:eastAsia="微软雅黑" w:cs="微软雅黑"/>
          <w:sz w:val="44"/>
          <w:szCs w:val="44"/>
        </w:rPr>
      </w:pPr>
      <w:r>
        <w:rPr>
          <w:rFonts w:ascii="微软雅黑" w:hAnsi="微软雅黑" w:eastAsia="微软雅黑" w:cs="微软雅黑"/>
          <w:sz w:val="44"/>
          <w:szCs w:val="44"/>
        </w:rPr>
        <w:t>第二部分</w:t>
      </w:r>
      <w:r>
        <w:rPr>
          <w:rFonts w:ascii="微软雅黑" w:hAnsi="微软雅黑" w:eastAsia="微软雅黑" w:cs="微软雅黑"/>
          <w:spacing w:val="111"/>
          <w:sz w:val="44"/>
          <w:szCs w:val="44"/>
        </w:rPr>
        <w:t xml:space="preserve"> </w:t>
      </w:r>
      <w:r>
        <w:rPr>
          <w:rFonts w:ascii="宋体" w:hAnsi="宋体" w:eastAsia="宋体" w:cs="宋体"/>
          <w:sz w:val="43"/>
          <w:szCs w:val="43"/>
        </w:rPr>
        <w:t>2023</w:t>
      </w:r>
      <w:r>
        <w:rPr>
          <w:rFonts w:ascii="宋体" w:hAnsi="宋体" w:eastAsia="宋体" w:cs="宋体"/>
          <w:spacing w:val="-103"/>
          <w:sz w:val="43"/>
          <w:szCs w:val="43"/>
        </w:rPr>
        <w:t xml:space="preserve"> </w:t>
      </w:r>
      <w:r>
        <w:rPr>
          <w:rFonts w:ascii="微软雅黑" w:hAnsi="微软雅黑" w:eastAsia="微软雅黑" w:cs="微软雅黑"/>
          <w:sz w:val="44"/>
          <w:szCs w:val="44"/>
        </w:rPr>
        <w:t>年度部门决算表</w:t>
      </w:r>
    </w:p>
    <w:p w14:paraId="3E60C7A1">
      <w:pPr>
        <w:pStyle w:val="2"/>
        <w:spacing w:line="268" w:lineRule="auto"/>
      </w:pPr>
    </w:p>
    <w:p w14:paraId="713F1BF3">
      <w:pPr>
        <w:pStyle w:val="2"/>
        <w:spacing w:line="268" w:lineRule="auto"/>
      </w:pPr>
      <w:r>
        <w:rPr>
          <w:rFonts w:ascii="黑体" w:hAnsi="黑体" w:eastAsia="黑体" w:cs="黑体"/>
          <w:spacing w:val="7"/>
          <w:sz w:val="31"/>
          <w:szCs w:val="31"/>
        </w:rPr>
        <w:t>一、收入支出决算总表</w:t>
      </w:r>
    </w:p>
    <w:p w14:paraId="33EAFEB3">
      <w:pPr>
        <w:pStyle w:val="2"/>
        <w:spacing w:line="268" w:lineRule="auto"/>
      </w:pPr>
    </w:p>
    <w:p w14:paraId="105746A9">
      <w:pPr>
        <w:spacing w:before="100" w:line="224" w:lineRule="auto"/>
        <w:ind w:left="672"/>
        <w:rPr>
          <w:rFonts w:ascii="黑体" w:hAnsi="黑体" w:eastAsia="黑体" w:cs="黑体"/>
          <w:sz w:val="31"/>
          <w:szCs w:val="31"/>
        </w:rPr>
      </w:pPr>
      <w:r>
        <w:rPr>
          <w:rFonts w:hint="eastAsia" w:eastAsia="宋体"/>
          <w:lang w:eastAsia="zh-CN"/>
        </w:rPr>
        <w:drawing>
          <wp:inline distT="0" distB="0" distL="114300" distR="114300">
            <wp:extent cx="5292725" cy="4158615"/>
            <wp:effectExtent l="0" t="0" r="0" b="0"/>
            <wp:docPr id="1" name="图片 1" descr="160beb6e4ffc78756fccffc78d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beb6e4ffc78756fccffc78d37121"/>
                    <pic:cNvPicPr>
                      <a:picLocks noChangeAspect="1"/>
                    </pic:cNvPicPr>
                  </pic:nvPicPr>
                  <pic:blipFill>
                    <a:blip r:embed="rId20"/>
                    <a:srcRect b="3875"/>
                    <a:stretch>
                      <a:fillRect/>
                    </a:stretch>
                  </pic:blipFill>
                  <pic:spPr>
                    <a:xfrm>
                      <a:off x="0" y="0"/>
                      <a:ext cx="5292725" cy="4158615"/>
                    </a:xfrm>
                    <a:prstGeom prst="rect">
                      <a:avLst/>
                    </a:prstGeom>
                  </pic:spPr>
                </pic:pic>
              </a:graphicData>
            </a:graphic>
          </wp:inline>
        </w:drawing>
      </w:r>
    </w:p>
    <w:p w14:paraId="66EC8C91">
      <w:pPr>
        <w:pStyle w:val="2"/>
        <w:spacing w:line="337" w:lineRule="auto"/>
      </w:pPr>
    </w:p>
    <w:p w14:paraId="3E59DF3C">
      <w:pPr>
        <w:pStyle w:val="2"/>
        <w:spacing w:line="338" w:lineRule="auto"/>
      </w:pPr>
    </w:p>
    <w:p w14:paraId="478B3B01">
      <w:pPr>
        <w:spacing w:line="224" w:lineRule="auto"/>
        <w:rPr>
          <w:rFonts w:ascii="仿宋" w:hAnsi="仿宋" w:eastAsia="仿宋" w:cs="仿宋"/>
          <w:sz w:val="31"/>
          <w:szCs w:val="31"/>
        </w:rPr>
        <w:sectPr>
          <w:footerReference r:id="rId9" w:type="default"/>
          <w:pgSz w:w="11907" w:h="16839"/>
          <w:pgMar w:top="1431" w:right="1785" w:bottom="1150" w:left="1785" w:header="0" w:footer="965" w:gutter="0"/>
          <w:cols w:space="720" w:num="1"/>
        </w:sectPr>
      </w:pPr>
    </w:p>
    <w:p w14:paraId="00ACADDC">
      <w:pPr>
        <w:spacing w:before="101" w:line="224" w:lineRule="auto"/>
        <w:ind w:left="672"/>
        <w:rPr>
          <w:rFonts w:hint="eastAsia" w:ascii="仿宋" w:hAnsi="仿宋" w:eastAsia="仿宋" w:cs="仿宋"/>
          <w:sz w:val="31"/>
          <w:szCs w:val="31"/>
          <w:lang w:eastAsia="zh-CN"/>
        </w:rPr>
      </w:pPr>
      <w:r>
        <w:rPr>
          <w:rFonts w:ascii="黑体" w:hAnsi="黑体" w:eastAsia="黑体" w:cs="黑体"/>
          <w:spacing w:val="7"/>
          <w:sz w:val="31"/>
          <w:szCs w:val="31"/>
        </w:rPr>
        <w:t>二、收入决算表</w:t>
      </w:r>
    </w:p>
    <w:p w14:paraId="36AC2994">
      <w:pPr>
        <w:spacing w:before="101" w:line="224" w:lineRule="auto"/>
        <w:ind w:left="672"/>
        <w:rPr>
          <w:rFonts w:hint="eastAsia" w:ascii="仿宋" w:hAnsi="仿宋" w:eastAsia="仿宋" w:cs="仿宋"/>
          <w:sz w:val="31"/>
          <w:szCs w:val="31"/>
          <w:lang w:eastAsia="zh-CN"/>
        </w:rPr>
      </w:pPr>
      <w:r>
        <w:rPr>
          <w:rFonts w:hint="eastAsia" w:ascii="仿宋" w:hAnsi="仿宋" w:eastAsia="仿宋" w:cs="仿宋"/>
          <w:sz w:val="31"/>
          <w:szCs w:val="31"/>
          <w:lang w:eastAsia="zh-CN"/>
        </w:rPr>
        <w:drawing>
          <wp:anchor distT="0" distB="0" distL="114300" distR="114300" simplePos="0" relativeHeight="251659264" behindDoc="0" locked="0" layoutInCell="1" allowOverlap="1">
            <wp:simplePos x="0" y="0"/>
            <wp:positionH relativeFrom="column">
              <wp:posOffset>-73660</wp:posOffset>
            </wp:positionH>
            <wp:positionV relativeFrom="paragraph">
              <wp:posOffset>102235</wp:posOffset>
            </wp:positionV>
            <wp:extent cx="5288280" cy="6836410"/>
            <wp:effectExtent l="0" t="0" r="0" b="6350"/>
            <wp:wrapNone/>
            <wp:docPr id="2" name="图片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
                    <pic:cNvPicPr>
                      <a:picLocks noChangeAspect="1"/>
                    </pic:cNvPicPr>
                  </pic:nvPicPr>
                  <pic:blipFill>
                    <a:blip r:embed="rId21"/>
                    <a:srcRect b="9560"/>
                    <a:stretch>
                      <a:fillRect/>
                    </a:stretch>
                  </pic:blipFill>
                  <pic:spPr>
                    <a:xfrm>
                      <a:off x="0" y="0"/>
                      <a:ext cx="5288280" cy="6836410"/>
                    </a:xfrm>
                    <a:prstGeom prst="rect">
                      <a:avLst/>
                    </a:prstGeom>
                  </pic:spPr>
                </pic:pic>
              </a:graphicData>
            </a:graphic>
          </wp:anchor>
        </w:drawing>
      </w:r>
    </w:p>
    <w:p w14:paraId="2989F87B">
      <w:pPr>
        <w:spacing w:before="101" w:line="224" w:lineRule="auto"/>
        <w:ind w:left="674"/>
        <w:rPr>
          <w:rFonts w:ascii="黑体" w:hAnsi="黑体" w:eastAsia="黑体" w:cs="黑体"/>
          <w:sz w:val="31"/>
          <w:szCs w:val="31"/>
        </w:rPr>
      </w:pPr>
      <w:r>
        <w:rPr>
          <w:rFonts w:ascii="黑体" w:hAnsi="黑体" w:eastAsia="黑体" w:cs="黑体"/>
          <w:spacing w:val="7"/>
          <w:sz w:val="31"/>
          <w:szCs w:val="31"/>
        </w:rPr>
        <w:t>三、支出决算表</w:t>
      </w:r>
    </w:p>
    <w:p w14:paraId="0F0F2867">
      <w:pPr>
        <w:spacing w:line="356" w:lineRule="auto"/>
        <w:rPr>
          <w:rFonts w:hint="eastAsia" w:ascii="仿宋" w:hAnsi="仿宋" w:eastAsia="仿宋" w:cs="仿宋"/>
          <w:sz w:val="31"/>
          <w:szCs w:val="31"/>
          <w:lang w:eastAsia="zh-CN"/>
        </w:rPr>
        <w:sectPr>
          <w:footerReference r:id="rId10" w:type="default"/>
          <w:pgSz w:w="11907" w:h="16839"/>
          <w:pgMar w:top="1431" w:right="1785" w:bottom="1150" w:left="1785" w:header="0" w:footer="965" w:gutter="0"/>
          <w:cols w:space="720" w:num="1"/>
        </w:sectPr>
      </w:pPr>
    </w:p>
    <w:p w14:paraId="6223346C">
      <w:pPr>
        <w:spacing w:line="356" w:lineRule="auto"/>
        <w:rPr>
          <w:rFonts w:hint="eastAsia" w:ascii="仿宋" w:hAnsi="仿宋" w:eastAsia="仿宋" w:cs="仿宋"/>
          <w:sz w:val="31"/>
          <w:szCs w:val="31"/>
          <w:lang w:eastAsia="zh-CN"/>
        </w:rPr>
        <w:sectPr>
          <w:pgSz w:w="11907" w:h="16839"/>
          <w:pgMar w:top="1431" w:right="1785" w:bottom="1150" w:left="1785" w:header="0" w:footer="965" w:gutter="0"/>
          <w:cols w:space="720" w:num="1"/>
        </w:sectPr>
      </w:pPr>
      <w:r>
        <w:rPr>
          <w:rFonts w:ascii="黑体" w:hAnsi="黑体" w:eastAsia="黑体" w:cs="黑体"/>
          <w:spacing w:val="7"/>
          <w:sz w:val="31"/>
          <w:szCs w:val="31"/>
        </w:rPr>
        <w:t>三、支出决算表</w:t>
      </w:r>
      <w:r>
        <w:rPr>
          <w:sz w:val="31"/>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411480</wp:posOffset>
                </wp:positionV>
                <wp:extent cx="5168900" cy="8356600"/>
                <wp:effectExtent l="0" t="0" r="12700" b="10160"/>
                <wp:wrapNone/>
                <wp:docPr id="9" name="文本框 9"/>
                <wp:cNvGraphicFramePr/>
                <a:graphic xmlns:a="http://schemas.openxmlformats.org/drawingml/2006/main">
                  <a:graphicData uri="http://schemas.microsoft.com/office/word/2010/wordprocessingShape">
                    <wps:wsp>
                      <wps:cNvSpPr txBox="1"/>
                      <wps:spPr>
                        <a:xfrm>
                          <a:off x="1177290" y="1320165"/>
                          <a:ext cx="5168900" cy="8356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11114B">
                            <w:pPr>
                              <w:rPr>
                                <w:rFonts w:hint="eastAsia" w:eastAsia="宋体"/>
                                <w:lang w:eastAsia="zh-CN"/>
                              </w:rPr>
                            </w:pPr>
                            <w:r>
                              <w:rPr>
                                <w:rFonts w:hint="eastAsia" w:eastAsia="宋体"/>
                                <w:lang w:eastAsia="zh-CN"/>
                              </w:rPr>
                              <w:drawing>
                                <wp:inline distT="0" distB="0" distL="114300" distR="114300">
                                  <wp:extent cx="4974590" cy="7331710"/>
                                  <wp:effectExtent l="0" t="0" r="0" b="0"/>
                                  <wp:docPr id="11" name="图片 11" descr="{F60B349A-31A4-47c4-AEED-C9A70FAAA7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60B349A-31A4-47c4-AEED-C9A70FAAA7E9}"/>
                                          <pic:cNvPicPr>
                                            <a:picLocks noChangeAspect="1"/>
                                          </pic:cNvPicPr>
                                        </pic:nvPicPr>
                                        <pic:blipFill>
                                          <a:blip r:embed="rId22"/>
                                          <a:srcRect b="7216"/>
                                          <a:stretch>
                                            <a:fillRect/>
                                          </a:stretch>
                                        </pic:blipFill>
                                        <pic:spPr>
                                          <a:xfrm>
                                            <a:off x="0" y="0"/>
                                            <a:ext cx="4974590" cy="7331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32.4pt;height:658pt;width:407pt;z-index:251660288;mso-width-relative:page;mso-height-relative:page;" fillcolor="#FFFFFF [3201]" filled="t" stroked="f" coordsize="21600,21600" o:gfxdata="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Nlke7UAAAA&#10;CQEAAA8AAAAAAAAAAQAgAAAAIgAAAGRycy9kb3ducmV2LnhtbFBLAQIUABQAAAAIAIdO4kC2obDt&#10;WgIAAJwEAAAOAAAAAAAAAAEAIAAAACMBAABkcnMvZTJvRG9jLnhtbFBLBQYAAAAABgAGAFkBAADv&#10;BQAAAAA=&#10;">
                <v:fill on="t" focussize="0,0"/>
                <v:stroke on="f" weight="0.5pt"/>
                <v:imagedata o:title=""/>
                <o:lock v:ext="edit" aspectratio="f"/>
                <v:textbox>
                  <w:txbxContent>
                    <w:p w14:paraId="7611114B">
                      <w:pPr>
                        <w:rPr>
                          <w:rFonts w:hint="eastAsia" w:eastAsia="宋体"/>
                          <w:lang w:eastAsia="zh-CN"/>
                        </w:rPr>
                      </w:pPr>
                      <w:r>
                        <w:rPr>
                          <w:rFonts w:hint="eastAsia" w:eastAsia="宋体"/>
                          <w:lang w:eastAsia="zh-CN"/>
                        </w:rPr>
                        <w:drawing>
                          <wp:inline distT="0" distB="0" distL="114300" distR="114300">
                            <wp:extent cx="4974590" cy="7331710"/>
                            <wp:effectExtent l="0" t="0" r="0" b="0"/>
                            <wp:docPr id="11" name="图片 11" descr="{F60B349A-31A4-47c4-AEED-C9A70FAAA7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60B349A-31A4-47c4-AEED-C9A70FAAA7E9}"/>
                                    <pic:cNvPicPr>
                                      <a:picLocks noChangeAspect="1"/>
                                    </pic:cNvPicPr>
                                  </pic:nvPicPr>
                                  <pic:blipFill>
                                    <a:blip r:embed="rId22"/>
                                    <a:srcRect b="7216"/>
                                    <a:stretch>
                                      <a:fillRect/>
                                    </a:stretch>
                                  </pic:blipFill>
                                  <pic:spPr>
                                    <a:xfrm>
                                      <a:off x="0" y="0"/>
                                      <a:ext cx="4974590" cy="7331710"/>
                                    </a:xfrm>
                                    <a:prstGeom prst="rect">
                                      <a:avLst/>
                                    </a:prstGeom>
                                  </pic:spPr>
                                </pic:pic>
                              </a:graphicData>
                            </a:graphic>
                          </wp:inline>
                        </w:drawing>
                      </w:r>
                    </w:p>
                  </w:txbxContent>
                </v:textbox>
              </v:shape>
            </w:pict>
          </mc:Fallback>
        </mc:AlternateContent>
      </w:r>
    </w:p>
    <w:p w14:paraId="1D6F9BBD">
      <w:pPr>
        <w:spacing w:before="101" w:line="224" w:lineRule="auto"/>
        <w:ind w:left="686"/>
        <w:rPr>
          <w:rFonts w:ascii="黑体" w:hAnsi="黑体" w:eastAsia="黑体" w:cs="黑体"/>
          <w:sz w:val="31"/>
          <w:szCs w:val="31"/>
        </w:rPr>
      </w:pPr>
      <w:r>
        <w:rPr>
          <w:rFonts w:ascii="黑体" w:hAnsi="黑体" w:eastAsia="黑体" w:cs="黑体"/>
          <w:spacing w:val="7"/>
          <w:sz w:val="31"/>
          <w:szCs w:val="31"/>
        </w:rPr>
        <w:t>四、财政拨款收入支出决算总表</w:t>
      </w:r>
    </w:p>
    <w:p w14:paraId="3D80A09B">
      <w:pPr>
        <w:pStyle w:val="2"/>
        <w:spacing w:line="245" w:lineRule="auto"/>
      </w:pPr>
    </w:p>
    <w:p w14:paraId="79F9286D">
      <w:pPr>
        <w:spacing w:line="224" w:lineRule="auto"/>
        <w:rPr>
          <w:rFonts w:hint="eastAsia" w:ascii="仿宋" w:hAnsi="仿宋" w:eastAsia="仿宋" w:cs="仿宋"/>
          <w:sz w:val="31"/>
          <w:szCs w:val="31"/>
          <w:lang w:eastAsia="zh-CN"/>
        </w:rPr>
        <w:sectPr>
          <w:footerReference r:id="rId11" w:type="default"/>
          <w:pgSz w:w="11907" w:h="16839"/>
          <w:pgMar w:top="1431" w:right="1785" w:bottom="1153" w:left="1785" w:header="0" w:footer="965" w:gutter="0"/>
          <w:cols w:space="720" w:num="1"/>
        </w:sectPr>
      </w:pPr>
      <w:r>
        <w:rPr>
          <w:rFonts w:hint="eastAsia" w:ascii="仿宋" w:hAnsi="仿宋" w:eastAsia="仿宋" w:cs="仿宋"/>
          <w:sz w:val="31"/>
          <w:szCs w:val="31"/>
          <w:lang w:eastAsia="zh-CN"/>
        </w:rPr>
        <w:drawing>
          <wp:inline distT="0" distB="0" distL="114300" distR="114300">
            <wp:extent cx="5288280" cy="4197985"/>
            <wp:effectExtent l="0" t="0" r="0" b="0"/>
            <wp:docPr id="4" name="图片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
                    <pic:cNvPicPr>
                      <a:picLocks noChangeAspect="1"/>
                    </pic:cNvPicPr>
                  </pic:nvPicPr>
                  <pic:blipFill>
                    <a:blip r:embed="rId23"/>
                    <a:srcRect b="5219"/>
                    <a:stretch>
                      <a:fillRect/>
                    </a:stretch>
                  </pic:blipFill>
                  <pic:spPr>
                    <a:xfrm>
                      <a:off x="0" y="0"/>
                      <a:ext cx="5288280" cy="4197985"/>
                    </a:xfrm>
                    <a:prstGeom prst="rect">
                      <a:avLst/>
                    </a:prstGeom>
                  </pic:spPr>
                </pic:pic>
              </a:graphicData>
            </a:graphic>
          </wp:inline>
        </w:drawing>
      </w:r>
    </w:p>
    <w:p w14:paraId="034C9C21">
      <w:pPr>
        <w:spacing w:before="100" w:line="224" w:lineRule="auto"/>
        <w:ind w:left="676"/>
        <w:rPr>
          <w:rFonts w:ascii="仿宋" w:hAnsi="仿宋" w:eastAsia="仿宋" w:cs="仿宋"/>
          <w:sz w:val="31"/>
          <w:szCs w:val="31"/>
        </w:rPr>
        <w:sectPr>
          <w:footerReference r:id="rId12" w:type="default"/>
          <w:pgSz w:w="11907" w:h="16839"/>
          <w:pgMar w:top="1431" w:right="1785" w:bottom="1153" w:left="1785" w:header="0" w:footer="965" w:gutter="0"/>
          <w:cols w:space="720" w:num="1"/>
        </w:sectPr>
      </w:pPr>
      <w:r>
        <w:rPr>
          <w:rFonts w:ascii="黑体" w:hAnsi="黑体" w:eastAsia="黑体" w:cs="黑体"/>
          <w:spacing w:val="8"/>
          <w:sz w:val="31"/>
          <w:szCs w:val="31"/>
        </w:rPr>
        <w:t>五、</w:t>
      </w:r>
      <w:r>
        <w:rPr>
          <w:rFonts w:ascii="黑体" w:hAnsi="黑体" w:eastAsia="黑体" w:cs="黑体"/>
          <w:spacing w:val="8"/>
          <w:sz w:val="28"/>
          <w:szCs w:val="28"/>
        </w:rPr>
        <w:t>一般公共预算财政拨</w:t>
      </w:r>
      <w:r>
        <w:rPr>
          <w:rFonts w:hint="eastAsia" w:ascii="黑体" w:hAnsi="黑体" w:eastAsia="黑体" w:cs="黑体"/>
          <w:spacing w:val="8"/>
          <w:sz w:val="28"/>
          <w:szCs w:val="28"/>
          <w:lang w:val="en-US" w:eastAsia="zh-CN"/>
        </w:rPr>
        <w:t>款支出决算表</w:t>
      </w:r>
      <w:r>
        <w:rPr>
          <w:rFonts w:hint="eastAsia" w:ascii="黑体" w:hAnsi="黑体" w:eastAsia="黑体" w:cs="黑体"/>
          <w:sz w:val="31"/>
          <w:szCs w:val="31"/>
          <w:lang w:eastAsia="zh-CN"/>
        </w:rPr>
        <w:drawing>
          <wp:inline distT="0" distB="0" distL="114300" distR="114300">
            <wp:extent cx="4493895" cy="7658100"/>
            <wp:effectExtent l="0" t="0" r="0" b="0"/>
            <wp:docPr id="5" name="图片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
                    <pic:cNvPicPr>
                      <a:picLocks noChangeAspect="1"/>
                    </pic:cNvPicPr>
                  </pic:nvPicPr>
                  <pic:blipFill>
                    <a:blip r:embed="rId24"/>
                    <a:srcRect b="3620"/>
                    <a:stretch>
                      <a:fillRect/>
                    </a:stretch>
                  </pic:blipFill>
                  <pic:spPr>
                    <a:xfrm>
                      <a:off x="0" y="0"/>
                      <a:ext cx="4493895" cy="7658100"/>
                    </a:xfrm>
                    <a:prstGeom prst="rect">
                      <a:avLst/>
                    </a:prstGeom>
                  </pic:spPr>
                </pic:pic>
              </a:graphicData>
            </a:graphic>
          </wp:inline>
        </w:drawing>
      </w:r>
    </w:p>
    <w:p w14:paraId="1F056FE3">
      <w:pPr>
        <w:spacing w:before="100" w:line="224" w:lineRule="auto"/>
        <w:ind w:left="677"/>
        <w:rPr>
          <w:rFonts w:hint="eastAsia" w:ascii="黑体" w:hAnsi="黑体" w:eastAsia="黑体" w:cs="黑体"/>
          <w:spacing w:val="8"/>
          <w:sz w:val="31"/>
          <w:szCs w:val="31"/>
          <w:lang w:val="en-US" w:eastAsia="zh-CN"/>
        </w:rPr>
      </w:pPr>
      <w:r>
        <w:rPr>
          <w:rFonts w:ascii="黑体" w:hAnsi="黑体" w:eastAsia="黑体" w:cs="黑体"/>
          <w:spacing w:val="8"/>
          <w:sz w:val="31"/>
          <w:szCs w:val="31"/>
        </w:rPr>
        <w:t>六、一般公共预算财政拨款基本支出决算明细</w:t>
      </w:r>
      <w:r>
        <w:rPr>
          <w:rFonts w:hint="eastAsia" w:ascii="黑体" w:hAnsi="黑体" w:eastAsia="黑体" w:cs="黑体"/>
          <w:spacing w:val="8"/>
          <w:sz w:val="31"/>
          <w:szCs w:val="31"/>
          <w:lang w:val="en-US" w:eastAsia="zh-CN"/>
        </w:rPr>
        <w:t>表</w:t>
      </w:r>
    </w:p>
    <w:p w14:paraId="5483A1C1">
      <w:pPr>
        <w:spacing w:before="100" w:line="224" w:lineRule="auto"/>
        <w:ind w:left="674" w:leftChars="0" w:hanging="674" w:hangingChars="207"/>
        <w:rPr>
          <w:rFonts w:ascii="仿宋" w:hAnsi="仿宋" w:eastAsia="仿宋" w:cs="仿宋"/>
          <w:sz w:val="31"/>
          <w:szCs w:val="31"/>
        </w:rPr>
        <w:sectPr>
          <w:footerReference r:id="rId13" w:type="default"/>
          <w:pgSz w:w="11907" w:h="16839"/>
          <w:pgMar w:top="1431" w:right="1785" w:bottom="1153" w:left="1785" w:header="0" w:footer="965" w:gutter="0"/>
          <w:cols w:space="720" w:num="1"/>
        </w:sectPr>
      </w:pPr>
      <w:r>
        <w:rPr>
          <w:rFonts w:ascii="黑体" w:hAnsi="黑体" w:eastAsia="黑体" w:cs="黑体"/>
          <w:spacing w:val="8"/>
          <w:sz w:val="31"/>
          <w:szCs w:val="31"/>
        </w:rPr>
        <w:drawing>
          <wp:inline distT="0" distB="0" distL="114300" distR="114300">
            <wp:extent cx="5290820" cy="3106420"/>
            <wp:effectExtent l="0" t="0" r="0" b="0"/>
            <wp:docPr id="6" name="图片 6" descr="de9923cdc159cc3b3c741ab624fe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e9923cdc159cc3b3c741ab624fee95"/>
                    <pic:cNvPicPr>
                      <a:picLocks noChangeAspect="1"/>
                    </pic:cNvPicPr>
                  </pic:nvPicPr>
                  <pic:blipFill>
                    <a:blip r:embed="rId25"/>
                    <a:srcRect b="5249"/>
                    <a:stretch>
                      <a:fillRect/>
                    </a:stretch>
                  </pic:blipFill>
                  <pic:spPr>
                    <a:xfrm>
                      <a:off x="0" y="0"/>
                      <a:ext cx="5290820" cy="3106420"/>
                    </a:xfrm>
                    <a:prstGeom prst="rect">
                      <a:avLst/>
                    </a:prstGeom>
                  </pic:spPr>
                </pic:pic>
              </a:graphicData>
            </a:graphic>
          </wp:inline>
        </w:drawing>
      </w:r>
    </w:p>
    <w:p w14:paraId="67DA78E3">
      <w:pPr>
        <w:numPr>
          <w:ilvl w:val="0"/>
          <w:numId w:val="2"/>
        </w:numPr>
        <w:spacing w:before="101" w:line="224" w:lineRule="auto"/>
        <w:ind w:left="666"/>
        <w:rPr>
          <w:rFonts w:ascii="黑体" w:hAnsi="黑体" w:eastAsia="黑体" w:cs="黑体"/>
          <w:spacing w:val="8"/>
          <w:sz w:val="31"/>
          <w:szCs w:val="31"/>
        </w:rPr>
      </w:pPr>
      <w:r>
        <w:rPr>
          <w:rFonts w:ascii="黑体" w:hAnsi="黑体" w:eastAsia="黑体" w:cs="黑体"/>
          <w:spacing w:val="8"/>
          <w:sz w:val="31"/>
          <w:szCs w:val="31"/>
        </w:rPr>
        <w:t>政府性基金预算财政拨款收入支出决算表</w:t>
      </w:r>
    </w:p>
    <w:p w14:paraId="59F6D01B">
      <w:pPr>
        <w:numPr>
          <w:ilvl w:val="0"/>
          <w:numId w:val="0"/>
        </w:numPr>
        <w:spacing w:before="101" w:line="224" w:lineRule="auto"/>
        <w:rPr>
          <w:rFonts w:ascii="黑体" w:hAnsi="黑体" w:eastAsia="黑体" w:cs="黑体"/>
          <w:spacing w:val="8"/>
          <w:sz w:val="31"/>
          <w:szCs w:val="31"/>
        </w:rPr>
      </w:pPr>
    </w:p>
    <w:p w14:paraId="45C533DB">
      <w:pPr>
        <w:spacing w:line="364" w:lineRule="auto"/>
        <w:rPr>
          <w:rFonts w:hint="eastAsia" w:ascii="仿宋" w:hAnsi="仿宋" w:eastAsia="仿宋" w:cs="仿宋"/>
          <w:sz w:val="31"/>
          <w:szCs w:val="31"/>
          <w:lang w:eastAsia="zh-CN"/>
        </w:rPr>
        <w:sectPr>
          <w:footerReference r:id="rId14" w:type="default"/>
          <w:pgSz w:w="11907" w:h="16839"/>
          <w:pgMar w:top="1431" w:right="1785" w:bottom="1153" w:left="1785" w:header="0" w:footer="965" w:gutter="0"/>
          <w:cols w:space="720" w:num="1"/>
        </w:sectPr>
      </w:pPr>
      <w:r>
        <w:rPr>
          <w:rFonts w:hint="eastAsia" w:ascii="仿宋" w:hAnsi="仿宋" w:eastAsia="仿宋" w:cs="仿宋"/>
          <w:sz w:val="31"/>
          <w:szCs w:val="31"/>
          <w:lang w:eastAsia="zh-CN"/>
        </w:rPr>
        <w:drawing>
          <wp:inline distT="0" distB="0" distL="114300" distR="114300">
            <wp:extent cx="5290185" cy="2407285"/>
            <wp:effectExtent l="0" t="0" r="0" b="0"/>
            <wp:docPr id="7" name="图片 7" descr="7317affe19aa7fe1661051c7d792a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317affe19aa7fe1661051c7d792a1e"/>
                    <pic:cNvPicPr>
                      <a:picLocks noChangeAspect="1"/>
                    </pic:cNvPicPr>
                  </pic:nvPicPr>
                  <pic:blipFill>
                    <a:blip r:embed="rId26"/>
                    <a:srcRect b="7038"/>
                    <a:stretch>
                      <a:fillRect/>
                    </a:stretch>
                  </pic:blipFill>
                  <pic:spPr>
                    <a:xfrm>
                      <a:off x="0" y="0"/>
                      <a:ext cx="5290185" cy="2407285"/>
                    </a:xfrm>
                    <a:prstGeom prst="rect">
                      <a:avLst/>
                    </a:prstGeom>
                  </pic:spPr>
                </pic:pic>
              </a:graphicData>
            </a:graphic>
          </wp:inline>
        </w:drawing>
      </w:r>
    </w:p>
    <w:p w14:paraId="4A6EFF4F">
      <w:pPr>
        <w:numPr>
          <w:ilvl w:val="0"/>
          <w:numId w:val="3"/>
        </w:numPr>
        <w:spacing w:before="101" w:line="224" w:lineRule="auto"/>
        <w:ind w:left="667"/>
        <w:rPr>
          <w:rFonts w:ascii="黑体" w:hAnsi="黑体" w:eastAsia="黑体" w:cs="黑体"/>
          <w:spacing w:val="8"/>
          <w:sz w:val="31"/>
          <w:szCs w:val="31"/>
        </w:rPr>
      </w:pPr>
      <w:r>
        <w:rPr>
          <w:rFonts w:ascii="黑体" w:hAnsi="黑体" w:eastAsia="黑体" w:cs="黑体"/>
          <w:spacing w:val="8"/>
          <w:sz w:val="31"/>
          <w:szCs w:val="31"/>
        </w:rPr>
        <w:t>国有资本经营预算财政拨款支出决算表</w:t>
      </w:r>
    </w:p>
    <w:p w14:paraId="5E9CDFEA">
      <w:pPr>
        <w:numPr>
          <w:ilvl w:val="0"/>
          <w:numId w:val="0"/>
        </w:numPr>
        <w:spacing w:before="101" w:line="224" w:lineRule="auto"/>
      </w:pPr>
    </w:p>
    <w:p w14:paraId="4EFC6C51">
      <w:pPr>
        <w:pStyle w:val="2"/>
        <w:spacing w:line="253" w:lineRule="auto"/>
      </w:pPr>
    </w:p>
    <w:p w14:paraId="286115E7">
      <w:pPr>
        <w:pStyle w:val="2"/>
        <w:spacing w:line="339" w:lineRule="auto"/>
        <w:rPr>
          <w:rFonts w:hint="eastAsia" w:eastAsia="宋体"/>
          <w:lang w:eastAsia="zh-CN"/>
        </w:rPr>
      </w:pPr>
      <w:r>
        <w:rPr>
          <w:rFonts w:hint="eastAsia" w:eastAsia="宋体"/>
          <w:lang w:eastAsia="zh-CN"/>
        </w:rPr>
        <w:drawing>
          <wp:inline distT="0" distB="0" distL="114300" distR="114300">
            <wp:extent cx="5287645" cy="2693035"/>
            <wp:effectExtent l="0" t="0" r="0" b="0"/>
            <wp:docPr id="10" name="图片 10" descr="113b5e9a6772a1fc981873ae3a929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3b5e9a6772a1fc981873ae3a9290d"/>
                    <pic:cNvPicPr>
                      <a:picLocks noChangeAspect="1"/>
                    </pic:cNvPicPr>
                  </pic:nvPicPr>
                  <pic:blipFill>
                    <a:blip r:embed="rId27"/>
                    <a:srcRect b="7442"/>
                    <a:stretch>
                      <a:fillRect/>
                    </a:stretch>
                  </pic:blipFill>
                  <pic:spPr>
                    <a:xfrm>
                      <a:off x="0" y="0"/>
                      <a:ext cx="5287645" cy="2693035"/>
                    </a:xfrm>
                    <a:prstGeom prst="rect">
                      <a:avLst/>
                    </a:prstGeom>
                  </pic:spPr>
                </pic:pic>
              </a:graphicData>
            </a:graphic>
          </wp:inline>
        </w:drawing>
      </w:r>
    </w:p>
    <w:p w14:paraId="40228EC4">
      <w:pPr>
        <w:pStyle w:val="2"/>
        <w:spacing w:line="339" w:lineRule="auto"/>
        <w:rPr>
          <w:rFonts w:hint="default" w:eastAsia="宋体"/>
          <w:sz w:val="28"/>
          <w:szCs w:val="28"/>
          <w:lang w:val="en-US" w:eastAsia="zh-CN"/>
        </w:rPr>
      </w:pPr>
      <w:r>
        <w:rPr>
          <w:rFonts w:hint="eastAsia" w:eastAsia="宋体"/>
          <w:sz w:val="28"/>
          <w:szCs w:val="28"/>
          <w:lang w:val="en-US" w:eastAsia="zh-CN"/>
        </w:rPr>
        <w:t>本单位没有国有资本经营预算财政拨款支出。</w:t>
      </w:r>
    </w:p>
    <w:p w14:paraId="6E5488BF">
      <w:pPr>
        <w:pStyle w:val="2"/>
        <w:spacing w:line="339" w:lineRule="auto"/>
      </w:pPr>
    </w:p>
    <w:p w14:paraId="2DBA30AF">
      <w:pPr>
        <w:pStyle w:val="2"/>
        <w:spacing w:line="339" w:lineRule="auto"/>
      </w:pPr>
    </w:p>
    <w:p w14:paraId="7D59769F">
      <w:pPr>
        <w:pStyle w:val="2"/>
        <w:spacing w:line="339" w:lineRule="auto"/>
      </w:pPr>
    </w:p>
    <w:p w14:paraId="1BCA65B6">
      <w:pPr>
        <w:pStyle w:val="2"/>
        <w:spacing w:line="339" w:lineRule="auto"/>
      </w:pPr>
    </w:p>
    <w:p w14:paraId="2F65412D">
      <w:pPr>
        <w:pStyle w:val="2"/>
        <w:spacing w:line="339" w:lineRule="auto"/>
      </w:pPr>
    </w:p>
    <w:p w14:paraId="15D1E404">
      <w:pPr>
        <w:pStyle w:val="2"/>
        <w:spacing w:line="339" w:lineRule="auto"/>
      </w:pPr>
    </w:p>
    <w:p w14:paraId="79D8DFB6">
      <w:pPr>
        <w:pStyle w:val="2"/>
        <w:spacing w:line="339" w:lineRule="auto"/>
      </w:pPr>
    </w:p>
    <w:p w14:paraId="14019428">
      <w:pPr>
        <w:pStyle w:val="2"/>
        <w:spacing w:line="339" w:lineRule="auto"/>
      </w:pPr>
    </w:p>
    <w:p w14:paraId="304F3ADD">
      <w:pPr>
        <w:pStyle w:val="2"/>
        <w:spacing w:line="339" w:lineRule="auto"/>
      </w:pPr>
    </w:p>
    <w:p w14:paraId="3028AFC2">
      <w:pPr>
        <w:pStyle w:val="2"/>
        <w:spacing w:line="339" w:lineRule="auto"/>
      </w:pPr>
    </w:p>
    <w:p w14:paraId="7A01E9B6">
      <w:pPr>
        <w:pStyle w:val="2"/>
        <w:spacing w:line="339" w:lineRule="auto"/>
      </w:pPr>
    </w:p>
    <w:p w14:paraId="30296328">
      <w:pPr>
        <w:pStyle w:val="2"/>
        <w:spacing w:line="339" w:lineRule="auto"/>
      </w:pPr>
    </w:p>
    <w:p w14:paraId="1D314418">
      <w:pPr>
        <w:pStyle w:val="2"/>
        <w:spacing w:line="339" w:lineRule="auto"/>
      </w:pPr>
    </w:p>
    <w:p w14:paraId="12A478B1">
      <w:pPr>
        <w:pStyle w:val="2"/>
        <w:spacing w:line="339" w:lineRule="auto"/>
      </w:pPr>
    </w:p>
    <w:p w14:paraId="71FC4049">
      <w:pPr>
        <w:pStyle w:val="2"/>
        <w:spacing w:line="339" w:lineRule="auto"/>
      </w:pPr>
    </w:p>
    <w:p w14:paraId="07D27A0D">
      <w:pPr>
        <w:pStyle w:val="2"/>
        <w:spacing w:line="339" w:lineRule="auto"/>
      </w:pPr>
    </w:p>
    <w:p w14:paraId="37AE2460">
      <w:pPr>
        <w:pStyle w:val="2"/>
        <w:spacing w:line="339" w:lineRule="auto"/>
      </w:pPr>
    </w:p>
    <w:p w14:paraId="367DD629">
      <w:pPr>
        <w:pStyle w:val="2"/>
        <w:spacing w:line="340" w:lineRule="auto"/>
      </w:pPr>
    </w:p>
    <w:p w14:paraId="2E8A3816">
      <w:pPr>
        <w:spacing w:before="101" w:line="224" w:lineRule="auto"/>
        <w:ind w:left="675"/>
        <w:rPr>
          <w:rFonts w:ascii="黑体" w:hAnsi="黑体" w:eastAsia="黑体" w:cs="黑体"/>
          <w:spacing w:val="8"/>
          <w:sz w:val="31"/>
          <w:szCs w:val="31"/>
        </w:rPr>
      </w:pPr>
    </w:p>
    <w:p w14:paraId="6E5A2781">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01" w:line="224" w:lineRule="auto"/>
        <w:ind w:left="667" w:leftChars="0" w:firstLine="0" w:firstLineChars="0"/>
        <w:textAlignment w:val="baseline"/>
        <w:rPr>
          <w:rFonts w:hint="eastAsia" w:ascii="黑体" w:hAnsi="黑体" w:eastAsia="黑体" w:cs="黑体"/>
          <w:sz w:val="31"/>
          <w:szCs w:val="31"/>
          <w:lang w:eastAsia="zh-CN"/>
        </w:rPr>
      </w:pPr>
      <w:r>
        <w:rPr>
          <w:rFonts w:ascii="黑体" w:hAnsi="黑体" w:eastAsia="黑体" w:cs="黑体"/>
          <w:spacing w:val="8"/>
          <w:sz w:val="31"/>
          <w:szCs w:val="31"/>
        </w:rPr>
        <w:t>财政拨款“三公”经费支出决算表</w:t>
      </w:r>
      <w:r>
        <w:rPr>
          <w:rFonts w:hint="eastAsia" w:ascii="黑体" w:hAnsi="黑体" w:eastAsia="黑体" w:cs="黑体"/>
          <w:sz w:val="31"/>
          <w:szCs w:val="31"/>
          <w:lang w:eastAsia="zh-CN"/>
        </w:rPr>
        <w:drawing>
          <wp:inline distT="0" distB="0" distL="114300" distR="114300">
            <wp:extent cx="5290820" cy="1535430"/>
            <wp:effectExtent l="0" t="0" r="0" b="0"/>
            <wp:docPr id="12" name="图片 12" descr="55d3c0d533f311aa075a2e195f18f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5d3c0d533f311aa075a2e195f18f1a"/>
                    <pic:cNvPicPr>
                      <a:picLocks noChangeAspect="1"/>
                    </pic:cNvPicPr>
                  </pic:nvPicPr>
                  <pic:blipFill>
                    <a:blip r:embed="rId28"/>
                    <a:srcRect b="24201"/>
                    <a:stretch>
                      <a:fillRect/>
                    </a:stretch>
                  </pic:blipFill>
                  <pic:spPr>
                    <a:xfrm>
                      <a:off x="0" y="0"/>
                      <a:ext cx="5290820" cy="1535430"/>
                    </a:xfrm>
                    <a:prstGeom prst="rect">
                      <a:avLst/>
                    </a:prstGeom>
                  </pic:spPr>
                </pic:pic>
              </a:graphicData>
            </a:graphic>
          </wp:inline>
        </w:drawing>
      </w:r>
    </w:p>
    <w:p w14:paraId="6F6A68B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224" w:lineRule="auto"/>
        <w:ind w:left="667" w:leftChars="0"/>
        <w:textAlignment w:val="baseline"/>
        <w:rPr>
          <w:rFonts w:hint="default" w:ascii="Arial" w:hAnsi="Arial" w:eastAsia="宋体" w:cs="Arial"/>
          <w:snapToGrid w:val="0"/>
          <w:color w:val="000000"/>
          <w:kern w:val="0"/>
          <w:sz w:val="28"/>
          <w:szCs w:val="28"/>
          <w:lang w:val="en-US" w:eastAsia="zh-CN" w:bidi="ar-SA"/>
        </w:rPr>
      </w:pPr>
      <w:r>
        <w:rPr>
          <w:rFonts w:hint="eastAsia" w:ascii="Arial" w:hAnsi="Arial" w:eastAsia="宋体" w:cs="Arial"/>
          <w:snapToGrid w:val="0"/>
          <w:color w:val="000000"/>
          <w:kern w:val="0"/>
          <w:sz w:val="28"/>
          <w:szCs w:val="28"/>
          <w:lang w:val="en-US" w:eastAsia="zh-CN" w:bidi="ar-SA"/>
        </w:rPr>
        <w:t>本单位没有因公出国（境）费和公务接待费支出</w:t>
      </w:r>
    </w:p>
    <w:p w14:paraId="60605835">
      <w:pPr>
        <w:spacing w:before="96" w:line="5302" w:lineRule="exact"/>
        <w:ind w:firstLine="237"/>
        <w:rPr>
          <w:rFonts w:ascii="仿宋" w:hAnsi="仿宋" w:eastAsia="仿宋" w:cs="仿宋"/>
          <w:sz w:val="31"/>
          <w:szCs w:val="31"/>
        </w:rPr>
      </w:pPr>
    </w:p>
    <w:p w14:paraId="2957577F">
      <w:pPr>
        <w:spacing w:before="96" w:line="5302" w:lineRule="exact"/>
        <w:ind w:firstLine="237"/>
        <w:rPr>
          <w:rFonts w:ascii="仿宋" w:hAnsi="仿宋" w:eastAsia="仿宋" w:cs="仿宋"/>
          <w:sz w:val="31"/>
          <w:szCs w:val="31"/>
        </w:rPr>
        <w:sectPr>
          <w:footerReference r:id="rId15" w:type="default"/>
          <w:pgSz w:w="11907" w:h="16839"/>
          <w:pgMar w:top="1431" w:right="1785" w:bottom="1153" w:left="1785" w:header="0" w:footer="965" w:gutter="0"/>
          <w:cols w:space="720" w:num="1"/>
        </w:sectPr>
      </w:pPr>
    </w:p>
    <w:p w14:paraId="381C426B">
      <w:pPr>
        <w:spacing w:before="100" w:line="224" w:lineRule="auto"/>
        <w:ind w:firstLine="326" w:firstLineChars="100"/>
        <w:rPr>
          <w:rFonts w:ascii="黑体" w:hAnsi="黑体" w:eastAsia="黑体" w:cs="黑体"/>
          <w:sz w:val="31"/>
          <w:szCs w:val="31"/>
        </w:rPr>
      </w:pPr>
      <w:r>
        <w:rPr>
          <w:rFonts w:ascii="黑体" w:hAnsi="黑体" w:eastAsia="黑体" w:cs="黑体"/>
          <w:spacing w:val="8"/>
          <w:sz w:val="31"/>
          <w:szCs w:val="31"/>
        </w:rPr>
        <w:t>十、部门预算项目支出绩效自评表</w:t>
      </w:r>
    </w:p>
    <w:p w14:paraId="4A174DB2">
      <w:pPr>
        <w:pStyle w:val="2"/>
        <w:spacing w:line="261" w:lineRule="auto"/>
      </w:pPr>
    </w:p>
    <w:tbl>
      <w:tblPr>
        <w:tblStyle w:val="4"/>
        <w:tblW w:w="9071" w:type="dxa"/>
        <w:jc w:val="center"/>
        <w:tblLayout w:type="autofit"/>
        <w:tblCellMar>
          <w:top w:w="0" w:type="dxa"/>
          <w:left w:w="108" w:type="dxa"/>
          <w:bottom w:w="0" w:type="dxa"/>
          <w:right w:w="108" w:type="dxa"/>
        </w:tblCellMar>
      </w:tblPr>
      <w:tblGrid>
        <w:gridCol w:w="520"/>
        <w:gridCol w:w="652"/>
        <w:gridCol w:w="968"/>
        <w:gridCol w:w="1290"/>
        <w:gridCol w:w="709"/>
        <w:gridCol w:w="432"/>
        <w:gridCol w:w="814"/>
        <w:gridCol w:w="782"/>
        <w:gridCol w:w="483"/>
        <w:gridCol w:w="2421"/>
      </w:tblGrid>
      <w:tr w14:paraId="294DD1E9">
        <w:tblPrEx>
          <w:tblCellMar>
            <w:top w:w="0" w:type="dxa"/>
            <w:left w:w="108" w:type="dxa"/>
            <w:bottom w:w="0" w:type="dxa"/>
            <w:right w:w="108" w:type="dxa"/>
          </w:tblCellMar>
        </w:tblPrEx>
        <w:trPr>
          <w:trHeight w:val="270" w:hRule="atLeast"/>
          <w:jc w:val="center"/>
        </w:trPr>
        <w:tc>
          <w:tcPr>
            <w:tcW w:w="9071" w:type="dxa"/>
            <w:gridSpan w:val="10"/>
            <w:tcBorders>
              <w:top w:val="nil"/>
              <w:left w:val="nil"/>
              <w:bottom w:val="nil"/>
              <w:right w:val="nil"/>
            </w:tcBorders>
            <w:noWrap/>
            <w:vAlign w:val="center"/>
          </w:tcPr>
          <w:p w14:paraId="4B894DA6">
            <w:pPr>
              <w:widowControl/>
              <w:jc w:val="center"/>
              <w:textAlignment w:val="center"/>
              <w:rPr>
                <w:rFonts w:hint="eastAsia" w:ascii="方正小标宋简体" w:hAnsi="方正小标宋简体" w:eastAsia="宋体" w:cs="方正小标宋简体"/>
                <w:color w:val="000000"/>
                <w:sz w:val="16"/>
                <w:szCs w:val="16"/>
                <w:lang w:val="en-US" w:eastAsia="zh-CN"/>
              </w:rPr>
            </w:pPr>
            <w:r>
              <w:rPr>
                <w:rFonts w:hint="eastAsia" w:ascii="黑体" w:hAnsi="黑体" w:eastAsia="黑体" w:cs="黑体"/>
                <w:spacing w:val="8"/>
                <w:sz w:val="24"/>
                <w:szCs w:val="24"/>
                <w:lang w:val="en-US" w:eastAsia="zh-CN"/>
              </w:rPr>
              <w:t>项目支出绩效自评表</w:t>
            </w:r>
          </w:p>
        </w:tc>
      </w:tr>
      <w:tr w14:paraId="29DB0CA2">
        <w:tblPrEx>
          <w:tblCellMar>
            <w:top w:w="0" w:type="dxa"/>
            <w:left w:w="108" w:type="dxa"/>
            <w:bottom w:w="0" w:type="dxa"/>
            <w:right w:w="108" w:type="dxa"/>
          </w:tblCellMar>
        </w:tblPrEx>
        <w:trPr>
          <w:trHeight w:val="270" w:hRule="atLeast"/>
          <w:jc w:val="center"/>
        </w:trPr>
        <w:tc>
          <w:tcPr>
            <w:tcW w:w="9071" w:type="dxa"/>
            <w:gridSpan w:val="10"/>
            <w:tcBorders>
              <w:top w:val="nil"/>
              <w:left w:val="nil"/>
              <w:bottom w:val="nil"/>
              <w:right w:val="nil"/>
            </w:tcBorders>
            <w:noWrap w:val="0"/>
            <w:vAlign w:val="top"/>
          </w:tcPr>
          <w:p w14:paraId="6F32F664">
            <w:pPr>
              <w:widowControl/>
              <w:jc w:val="center"/>
              <w:textAlignment w:val="top"/>
              <w:rPr>
                <w:rFonts w:hint="eastAsia" w:ascii="宋体" w:hAnsi="宋体" w:eastAsia="宋体" w:cs="宋体"/>
                <w:color w:val="000000"/>
                <w:sz w:val="16"/>
                <w:szCs w:val="16"/>
                <w:lang w:eastAsia="zh-CN"/>
              </w:rPr>
            </w:pPr>
            <w:r>
              <w:rPr>
                <w:rFonts w:hint="eastAsia" w:ascii="宋体" w:hAnsi="宋体" w:cs="宋体"/>
                <w:color w:val="000000"/>
                <w:kern w:val="0"/>
                <w:sz w:val="16"/>
                <w:szCs w:val="16"/>
                <w:lang w:bidi="ar"/>
              </w:rPr>
              <w:t>（202</w:t>
            </w:r>
            <w:r>
              <w:rPr>
                <w:rFonts w:hint="eastAsia" w:ascii="宋体" w:hAnsi="宋体" w:eastAsia="宋体" w:cs="宋体"/>
                <w:color w:val="000000"/>
                <w:kern w:val="0"/>
                <w:sz w:val="16"/>
                <w:szCs w:val="16"/>
                <w:lang w:val="en-US" w:eastAsia="zh-CN" w:bidi="ar"/>
              </w:rPr>
              <w:t>3</w:t>
            </w:r>
            <w:r>
              <w:rPr>
                <w:rFonts w:hint="eastAsia" w:ascii="宋体" w:hAnsi="宋体" w:cs="宋体"/>
                <w:color w:val="000000"/>
                <w:kern w:val="0"/>
                <w:sz w:val="16"/>
                <w:szCs w:val="16"/>
                <w:lang w:bidi="ar"/>
              </w:rPr>
              <w:t>年度）</w:t>
            </w:r>
          </w:p>
        </w:tc>
      </w:tr>
      <w:tr w14:paraId="794E8887">
        <w:tblPrEx>
          <w:tblCellMar>
            <w:top w:w="0" w:type="dxa"/>
            <w:left w:w="108" w:type="dxa"/>
            <w:bottom w:w="0" w:type="dxa"/>
            <w:right w:w="108" w:type="dxa"/>
          </w:tblCellMar>
        </w:tblPrEx>
        <w:trPr>
          <w:trHeight w:val="320" w:hRule="atLeast"/>
          <w:jc w:val="center"/>
        </w:trPr>
        <w:tc>
          <w:tcPr>
            <w:tcW w:w="1172" w:type="dxa"/>
            <w:gridSpan w:val="2"/>
            <w:tcBorders>
              <w:top w:val="single" w:color="000000" w:sz="4" w:space="0"/>
              <w:left w:val="single" w:color="000000" w:sz="4" w:space="0"/>
              <w:bottom w:val="single" w:color="000000" w:sz="4" w:space="0"/>
              <w:right w:val="single" w:color="000000" w:sz="4" w:space="0"/>
            </w:tcBorders>
            <w:noWrap w:val="0"/>
            <w:vAlign w:val="center"/>
          </w:tcPr>
          <w:p w14:paraId="3A468E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项目名称</w:t>
            </w:r>
          </w:p>
        </w:tc>
        <w:tc>
          <w:tcPr>
            <w:tcW w:w="7899" w:type="dxa"/>
            <w:gridSpan w:val="8"/>
            <w:tcBorders>
              <w:top w:val="single" w:color="000000" w:sz="4" w:space="0"/>
              <w:left w:val="nil"/>
              <w:bottom w:val="single" w:color="000000" w:sz="4" w:space="0"/>
              <w:right w:val="single" w:color="000000" w:sz="4" w:space="0"/>
            </w:tcBorders>
            <w:noWrap w:val="0"/>
            <w:vAlign w:val="center"/>
          </w:tcPr>
          <w:p w14:paraId="219508C1">
            <w:pPr>
              <w:widowControl/>
              <w:jc w:val="center"/>
              <w:textAlignment w:val="center"/>
              <w:rPr>
                <w:rFonts w:hint="default" w:ascii="宋体" w:hAnsi="宋体" w:eastAsia="宋体" w:cs="宋体"/>
                <w:color w:val="000000"/>
                <w:sz w:val="16"/>
                <w:szCs w:val="16"/>
                <w:lang w:val="en-US" w:eastAsia="zh-CN"/>
              </w:rPr>
            </w:pPr>
          </w:p>
        </w:tc>
      </w:tr>
      <w:tr w14:paraId="0C7E2FEC">
        <w:tblPrEx>
          <w:tblCellMar>
            <w:top w:w="0" w:type="dxa"/>
            <w:left w:w="108" w:type="dxa"/>
            <w:bottom w:w="0" w:type="dxa"/>
            <w:right w:w="108" w:type="dxa"/>
          </w:tblCellMar>
        </w:tblPrEx>
        <w:trPr>
          <w:trHeight w:val="320" w:hRule="atLeast"/>
          <w:jc w:val="center"/>
        </w:trPr>
        <w:tc>
          <w:tcPr>
            <w:tcW w:w="1172" w:type="dxa"/>
            <w:gridSpan w:val="2"/>
            <w:tcBorders>
              <w:top w:val="nil"/>
              <w:left w:val="single" w:color="000000" w:sz="4" w:space="0"/>
              <w:bottom w:val="single" w:color="000000" w:sz="4" w:space="0"/>
              <w:right w:val="single" w:color="000000" w:sz="4" w:space="0"/>
            </w:tcBorders>
            <w:noWrap w:val="0"/>
            <w:vAlign w:val="center"/>
          </w:tcPr>
          <w:p w14:paraId="7683CAA2">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实施单位</w:t>
            </w:r>
          </w:p>
        </w:tc>
        <w:tc>
          <w:tcPr>
            <w:tcW w:w="4213" w:type="dxa"/>
            <w:gridSpan w:val="5"/>
            <w:tcBorders>
              <w:top w:val="nil"/>
              <w:left w:val="nil"/>
              <w:bottom w:val="single" w:color="000000" w:sz="4" w:space="0"/>
              <w:right w:val="single" w:color="000000" w:sz="4" w:space="0"/>
            </w:tcBorders>
            <w:noWrap w:val="0"/>
            <w:vAlign w:val="center"/>
          </w:tcPr>
          <w:p w14:paraId="64C65A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德惠市</w:t>
            </w:r>
            <w:r>
              <w:rPr>
                <w:rFonts w:hint="eastAsia" w:ascii="宋体" w:hAnsi="宋体" w:eastAsia="宋体" w:cs="宋体"/>
                <w:color w:val="000000"/>
                <w:kern w:val="0"/>
                <w:sz w:val="16"/>
                <w:szCs w:val="16"/>
                <w:lang w:val="en-US" w:eastAsia="zh-CN" w:bidi="ar"/>
              </w:rPr>
              <w:t>布海镇</w:t>
            </w:r>
            <w:r>
              <w:rPr>
                <w:rFonts w:hint="eastAsia" w:ascii="宋体" w:hAnsi="宋体" w:cs="宋体"/>
                <w:color w:val="000000"/>
                <w:kern w:val="0"/>
                <w:sz w:val="16"/>
                <w:szCs w:val="16"/>
                <w:lang w:bidi="ar"/>
              </w:rPr>
              <w:t>人民政府</w:t>
            </w:r>
          </w:p>
        </w:tc>
        <w:tc>
          <w:tcPr>
            <w:tcW w:w="1265" w:type="dxa"/>
            <w:gridSpan w:val="2"/>
            <w:tcBorders>
              <w:top w:val="nil"/>
              <w:left w:val="nil"/>
              <w:bottom w:val="single" w:color="000000" w:sz="4" w:space="0"/>
              <w:right w:val="single" w:color="000000" w:sz="4" w:space="0"/>
            </w:tcBorders>
            <w:noWrap w:val="0"/>
            <w:vAlign w:val="center"/>
          </w:tcPr>
          <w:p w14:paraId="495C53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预算单位</w:t>
            </w:r>
          </w:p>
        </w:tc>
        <w:tc>
          <w:tcPr>
            <w:tcW w:w="2421" w:type="dxa"/>
            <w:tcBorders>
              <w:top w:val="nil"/>
              <w:left w:val="nil"/>
              <w:bottom w:val="single" w:color="000000" w:sz="4" w:space="0"/>
              <w:right w:val="single" w:color="000000" w:sz="4" w:space="0"/>
            </w:tcBorders>
            <w:noWrap w:val="0"/>
            <w:vAlign w:val="center"/>
          </w:tcPr>
          <w:p w14:paraId="01C42C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德惠市</w:t>
            </w:r>
            <w:r>
              <w:rPr>
                <w:rFonts w:hint="eastAsia" w:ascii="宋体" w:hAnsi="宋体" w:eastAsia="宋体" w:cs="宋体"/>
                <w:color w:val="000000"/>
                <w:kern w:val="0"/>
                <w:sz w:val="16"/>
                <w:szCs w:val="16"/>
                <w:lang w:val="en-US" w:eastAsia="zh-CN" w:bidi="ar"/>
              </w:rPr>
              <w:t>布海镇</w:t>
            </w:r>
            <w:r>
              <w:rPr>
                <w:rFonts w:hint="eastAsia" w:ascii="宋体" w:hAnsi="宋体" w:cs="宋体"/>
                <w:color w:val="000000"/>
                <w:kern w:val="0"/>
                <w:sz w:val="16"/>
                <w:szCs w:val="16"/>
                <w:lang w:bidi="ar"/>
              </w:rPr>
              <w:t>人民政府</w:t>
            </w:r>
          </w:p>
        </w:tc>
      </w:tr>
      <w:tr w14:paraId="7F95873D">
        <w:tblPrEx>
          <w:tblCellMar>
            <w:top w:w="0" w:type="dxa"/>
            <w:left w:w="108" w:type="dxa"/>
            <w:bottom w:w="0" w:type="dxa"/>
            <w:right w:w="108" w:type="dxa"/>
          </w:tblCellMar>
        </w:tblPrEx>
        <w:trPr>
          <w:trHeight w:val="320" w:hRule="atLeast"/>
          <w:jc w:val="center"/>
        </w:trPr>
        <w:tc>
          <w:tcPr>
            <w:tcW w:w="1172" w:type="dxa"/>
            <w:gridSpan w:val="2"/>
            <w:tcBorders>
              <w:top w:val="nil"/>
              <w:left w:val="single" w:color="000000" w:sz="4" w:space="0"/>
              <w:bottom w:val="single" w:color="000000" w:sz="4" w:space="0"/>
              <w:right w:val="single" w:color="000000" w:sz="4" w:space="0"/>
            </w:tcBorders>
            <w:noWrap w:val="0"/>
            <w:vAlign w:val="center"/>
          </w:tcPr>
          <w:p w14:paraId="6A2DE6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项目属性</w:t>
            </w:r>
          </w:p>
        </w:tc>
        <w:tc>
          <w:tcPr>
            <w:tcW w:w="4213" w:type="dxa"/>
            <w:gridSpan w:val="5"/>
            <w:tcBorders>
              <w:top w:val="nil"/>
              <w:left w:val="nil"/>
              <w:bottom w:val="single" w:color="000000" w:sz="4" w:space="0"/>
              <w:right w:val="single" w:color="000000" w:sz="4" w:space="0"/>
            </w:tcBorders>
            <w:noWrap w:val="0"/>
            <w:vAlign w:val="center"/>
          </w:tcPr>
          <w:p w14:paraId="41A5CB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新增项目√延续项目□</w:t>
            </w:r>
          </w:p>
        </w:tc>
        <w:tc>
          <w:tcPr>
            <w:tcW w:w="1265" w:type="dxa"/>
            <w:gridSpan w:val="2"/>
            <w:tcBorders>
              <w:top w:val="nil"/>
              <w:left w:val="nil"/>
              <w:bottom w:val="single" w:color="000000" w:sz="4" w:space="0"/>
              <w:right w:val="single" w:color="000000" w:sz="4" w:space="0"/>
            </w:tcBorders>
            <w:noWrap w:val="0"/>
            <w:vAlign w:val="center"/>
          </w:tcPr>
          <w:p w14:paraId="28A493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项目期</w:t>
            </w:r>
          </w:p>
        </w:tc>
        <w:tc>
          <w:tcPr>
            <w:tcW w:w="2421" w:type="dxa"/>
            <w:tcBorders>
              <w:top w:val="nil"/>
              <w:left w:val="nil"/>
              <w:bottom w:val="single" w:color="000000" w:sz="4" w:space="0"/>
              <w:right w:val="single" w:color="000000" w:sz="4" w:space="0"/>
            </w:tcBorders>
            <w:noWrap w:val="0"/>
            <w:vAlign w:val="top"/>
          </w:tcPr>
          <w:p w14:paraId="279063D9">
            <w:pPr>
              <w:widowControl/>
              <w:jc w:val="center"/>
              <w:textAlignment w:val="top"/>
              <w:rPr>
                <w:rFonts w:hint="eastAsia" w:ascii="宋体" w:hAnsi="宋体" w:cs="宋体"/>
                <w:color w:val="000000"/>
                <w:sz w:val="16"/>
                <w:szCs w:val="16"/>
              </w:rPr>
            </w:pPr>
            <w:r>
              <w:rPr>
                <w:rFonts w:hint="eastAsia" w:ascii="宋体" w:hAnsi="宋体" w:cs="宋体"/>
                <w:color w:val="000000"/>
                <w:kern w:val="0"/>
                <w:sz w:val="16"/>
                <w:szCs w:val="16"/>
                <w:lang w:bidi="ar"/>
              </w:rPr>
              <w:t>202</w:t>
            </w:r>
            <w:r>
              <w:rPr>
                <w:rFonts w:hint="eastAsia" w:ascii="宋体" w:hAnsi="宋体" w:eastAsia="宋体" w:cs="宋体"/>
                <w:color w:val="000000"/>
                <w:kern w:val="0"/>
                <w:sz w:val="16"/>
                <w:szCs w:val="16"/>
                <w:lang w:val="en-US" w:eastAsia="zh-CN" w:bidi="ar"/>
              </w:rPr>
              <w:t>3</w:t>
            </w:r>
            <w:r>
              <w:rPr>
                <w:rFonts w:hint="eastAsia" w:ascii="宋体" w:hAnsi="宋体" w:cs="宋体"/>
                <w:color w:val="000000"/>
                <w:kern w:val="0"/>
                <w:sz w:val="16"/>
                <w:szCs w:val="16"/>
                <w:lang w:bidi="ar"/>
              </w:rPr>
              <w:t>年</w:t>
            </w:r>
          </w:p>
        </w:tc>
      </w:tr>
      <w:tr w14:paraId="79708014">
        <w:tblPrEx>
          <w:tblCellMar>
            <w:top w:w="0" w:type="dxa"/>
            <w:left w:w="108" w:type="dxa"/>
            <w:bottom w:w="0" w:type="dxa"/>
            <w:right w:w="108" w:type="dxa"/>
          </w:tblCellMar>
        </w:tblPrEx>
        <w:trPr>
          <w:trHeight w:val="90" w:hRule="atLeast"/>
          <w:jc w:val="center"/>
        </w:trPr>
        <w:tc>
          <w:tcPr>
            <w:tcW w:w="1172" w:type="dxa"/>
            <w:gridSpan w:val="2"/>
            <w:vMerge w:val="restart"/>
            <w:tcBorders>
              <w:top w:val="nil"/>
              <w:left w:val="single" w:color="000000" w:sz="4" w:space="0"/>
              <w:right w:val="single" w:color="000000" w:sz="4" w:space="0"/>
            </w:tcBorders>
            <w:noWrap w:val="0"/>
            <w:vAlign w:val="center"/>
          </w:tcPr>
          <w:p w14:paraId="3C27EA91">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资金</w:t>
            </w:r>
            <w:r>
              <w:rPr>
                <w:rFonts w:hint="eastAsia" w:ascii="宋体" w:hAnsi="宋体" w:cs="宋体"/>
                <w:color w:val="000000"/>
                <w:kern w:val="0"/>
                <w:sz w:val="16"/>
                <w:szCs w:val="16"/>
                <w:lang w:val="en-US" w:eastAsia="zh-CN" w:bidi="ar"/>
              </w:rPr>
              <w:t>情况</w:t>
            </w:r>
          </w:p>
          <w:p w14:paraId="02EC97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（万元）</w:t>
            </w:r>
          </w:p>
        </w:tc>
        <w:tc>
          <w:tcPr>
            <w:tcW w:w="2258" w:type="dxa"/>
            <w:gridSpan w:val="2"/>
            <w:tcBorders>
              <w:top w:val="nil"/>
              <w:left w:val="nil"/>
              <w:bottom w:val="single" w:color="000000" w:sz="4" w:space="0"/>
              <w:right w:val="single" w:color="000000" w:sz="4" w:space="0"/>
            </w:tcBorders>
            <w:noWrap w:val="0"/>
            <w:vAlign w:val="center"/>
          </w:tcPr>
          <w:p w14:paraId="1C2437A8">
            <w:pPr>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项目资金</w:t>
            </w:r>
          </w:p>
        </w:tc>
        <w:tc>
          <w:tcPr>
            <w:tcW w:w="709" w:type="dxa"/>
            <w:tcBorders>
              <w:top w:val="nil"/>
              <w:left w:val="nil"/>
              <w:bottom w:val="single" w:color="000000" w:sz="4" w:space="0"/>
              <w:right w:val="single" w:color="000000" w:sz="4" w:space="0"/>
            </w:tcBorders>
            <w:noWrap w:val="0"/>
            <w:vAlign w:val="center"/>
          </w:tcPr>
          <w:p w14:paraId="485CAD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年初预算数</w:t>
            </w:r>
          </w:p>
        </w:tc>
        <w:tc>
          <w:tcPr>
            <w:tcW w:w="1246" w:type="dxa"/>
            <w:gridSpan w:val="2"/>
            <w:tcBorders>
              <w:top w:val="nil"/>
              <w:left w:val="nil"/>
              <w:bottom w:val="single" w:color="000000" w:sz="4" w:space="0"/>
              <w:right w:val="single" w:color="000000" w:sz="4" w:space="0"/>
            </w:tcBorders>
            <w:noWrap w:val="0"/>
            <w:vAlign w:val="center"/>
          </w:tcPr>
          <w:p w14:paraId="0BEFB0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全年预算数</w:t>
            </w:r>
          </w:p>
        </w:tc>
        <w:tc>
          <w:tcPr>
            <w:tcW w:w="1265" w:type="dxa"/>
            <w:gridSpan w:val="2"/>
            <w:tcBorders>
              <w:top w:val="nil"/>
              <w:left w:val="nil"/>
              <w:bottom w:val="single" w:color="000000" w:sz="4" w:space="0"/>
              <w:right w:val="single" w:color="000000" w:sz="4" w:space="0"/>
            </w:tcBorders>
            <w:noWrap w:val="0"/>
            <w:vAlign w:val="center"/>
          </w:tcPr>
          <w:p w14:paraId="4E81DD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全年执行数</w:t>
            </w:r>
          </w:p>
        </w:tc>
        <w:tc>
          <w:tcPr>
            <w:tcW w:w="2421" w:type="dxa"/>
            <w:tcBorders>
              <w:top w:val="nil"/>
              <w:left w:val="nil"/>
              <w:bottom w:val="single" w:color="000000" w:sz="4" w:space="0"/>
              <w:right w:val="single" w:color="000000" w:sz="4" w:space="0"/>
            </w:tcBorders>
            <w:noWrap w:val="0"/>
            <w:vAlign w:val="center"/>
          </w:tcPr>
          <w:p w14:paraId="711EB25C">
            <w:pPr>
              <w:widowControl/>
              <w:jc w:val="center"/>
              <w:textAlignment w:val="center"/>
              <w:rPr>
                <w:rFonts w:hint="eastAsia" w:ascii="宋体" w:hAnsi="宋体" w:cs="宋体"/>
                <w:color w:val="000000"/>
                <w:kern w:val="2"/>
                <w:sz w:val="16"/>
                <w:szCs w:val="16"/>
                <w:lang w:val="en-US" w:eastAsia="zh-CN" w:bidi="ar-SA"/>
              </w:rPr>
            </w:pPr>
            <w:r>
              <w:rPr>
                <w:rFonts w:hint="eastAsia" w:ascii="宋体" w:hAnsi="宋体" w:cs="宋体"/>
                <w:color w:val="000000"/>
                <w:kern w:val="0"/>
                <w:sz w:val="16"/>
                <w:szCs w:val="16"/>
                <w:lang w:bidi="ar"/>
              </w:rPr>
              <w:t>执行率</w:t>
            </w:r>
          </w:p>
        </w:tc>
      </w:tr>
      <w:tr w14:paraId="45D5C237">
        <w:tblPrEx>
          <w:tblCellMar>
            <w:top w:w="0" w:type="dxa"/>
            <w:left w:w="108" w:type="dxa"/>
            <w:bottom w:w="0" w:type="dxa"/>
            <w:right w:w="108" w:type="dxa"/>
          </w:tblCellMar>
        </w:tblPrEx>
        <w:trPr>
          <w:trHeight w:val="320" w:hRule="atLeast"/>
          <w:jc w:val="center"/>
        </w:trPr>
        <w:tc>
          <w:tcPr>
            <w:tcW w:w="1172" w:type="dxa"/>
            <w:gridSpan w:val="2"/>
            <w:vMerge w:val="continue"/>
            <w:tcBorders>
              <w:left w:val="single" w:color="000000" w:sz="4" w:space="0"/>
              <w:right w:val="single" w:color="000000" w:sz="4" w:space="0"/>
            </w:tcBorders>
            <w:noWrap w:val="0"/>
            <w:vAlign w:val="center"/>
          </w:tcPr>
          <w:p w14:paraId="41DFCAA9">
            <w:pPr>
              <w:widowControl/>
              <w:jc w:val="center"/>
              <w:textAlignment w:val="center"/>
              <w:rPr>
                <w:rFonts w:hint="eastAsia" w:ascii="宋体" w:hAnsi="宋体" w:cs="宋体"/>
                <w:color w:val="000000"/>
                <w:sz w:val="16"/>
                <w:szCs w:val="16"/>
              </w:rPr>
            </w:pPr>
          </w:p>
        </w:tc>
        <w:tc>
          <w:tcPr>
            <w:tcW w:w="2258" w:type="dxa"/>
            <w:gridSpan w:val="2"/>
            <w:tcBorders>
              <w:top w:val="nil"/>
              <w:left w:val="nil"/>
              <w:bottom w:val="single" w:color="000000" w:sz="4" w:space="0"/>
              <w:right w:val="single" w:color="000000" w:sz="4" w:space="0"/>
            </w:tcBorders>
            <w:noWrap w:val="0"/>
            <w:vAlign w:val="center"/>
          </w:tcPr>
          <w:p w14:paraId="179443EB">
            <w:pPr>
              <w:widowControl/>
              <w:ind w:firstLine="480" w:firstLineChars="300"/>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当年财政拨款</w:t>
            </w:r>
          </w:p>
        </w:tc>
        <w:tc>
          <w:tcPr>
            <w:tcW w:w="709" w:type="dxa"/>
            <w:tcBorders>
              <w:top w:val="nil"/>
              <w:left w:val="nil"/>
              <w:bottom w:val="single" w:color="000000" w:sz="4" w:space="0"/>
              <w:right w:val="single" w:color="000000" w:sz="4" w:space="0"/>
            </w:tcBorders>
            <w:noWrap w:val="0"/>
            <w:vAlign w:val="center"/>
          </w:tcPr>
          <w:p w14:paraId="794A08E5">
            <w:pPr>
              <w:widowControl/>
              <w:jc w:val="center"/>
              <w:textAlignment w:val="center"/>
              <w:rPr>
                <w:rFonts w:hint="default" w:ascii="宋体" w:hAnsi="宋体" w:eastAsia="宋体" w:cs="宋体"/>
                <w:color w:val="000000"/>
                <w:kern w:val="2"/>
                <w:sz w:val="16"/>
                <w:szCs w:val="16"/>
                <w:lang w:val="en-US" w:eastAsia="zh-CN" w:bidi="ar-SA"/>
              </w:rPr>
            </w:pPr>
          </w:p>
        </w:tc>
        <w:tc>
          <w:tcPr>
            <w:tcW w:w="1246" w:type="dxa"/>
            <w:gridSpan w:val="2"/>
            <w:tcBorders>
              <w:top w:val="nil"/>
              <w:left w:val="nil"/>
              <w:bottom w:val="single" w:color="000000" w:sz="4" w:space="0"/>
              <w:right w:val="single" w:color="000000" w:sz="4" w:space="0"/>
            </w:tcBorders>
            <w:noWrap w:val="0"/>
            <w:vAlign w:val="center"/>
          </w:tcPr>
          <w:p w14:paraId="4375FC0F">
            <w:pPr>
              <w:widowControl/>
              <w:jc w:val="center"/>
              <w:textAlignment w:val="center"/>
              <w:rPr>
                <w:rFonts w:hint="default" w:ascii="宋体" w:hAnsi="宋体" w:eastAsia="宋体" w:cs="宋体"/>
                <w:color w:val="000000"/>
                <w:kern w:val="2"/>
                <w:sz w:val="16"/>
                <w:szCs w:val="16"/>
                <w:lang w:val="en-US" w:eastAsia="zh-CN" w:bidi="ar-SA"/>
              </w:rPr>
            </w:pPr>
          </w:p>
        </w:tc>
        <w:tc>
          <w:tcPr>
            <w:tcW w:w="1265" w:type="dxa"/>
            <w:gridSpan w:val="2"/>
            <w:tcBorders>
              <w:top w:val="nil"/>
              <w:left w:val="nil"/>
              <w:bottom w:val="single" w:color="000000" w:sz="4" w:space="0"/>
              <w:right w:val="single" w:color="000000" w:sz="4" w:space="0"/>
            </w:tcBorders>
            <w:noWrap w:val="0"/>
            <w:vAlign w:val="center"/>
          </w:tcPr>
          <w:p w14:paraId="24B213D7">
            <w:pPr>
              <w:widowControl/>
              <w:jc w:val="center"/>
              <w:textAlignment w:val="center"/>
              <w:rPr>
                <w:rFonts w:hint="default" w:ascii="宋体" w:hAnsi="宋体" w:eastAsia="宋体" w:cs="宋体"/>
                <w:color w:val="000000"/>
                <w:kern w:val="2"/>
                <w:sz w:val="16"/>
                <w:szCs w:val="16"/>
                <w:lang w:val="en-US" w:eastAsia="zh-CN" w:bidi="ar-SA"/>
              </w:rPr>
            </w:pPr>
          </w:p>
        </w:tc>
        <w:tc>
          <w:tcPr>
            <w:tcW w:w="2421" w:type="dxa"/>
            <w:tcBorders>
              <w:top w:val="nil"/>
              <w:left w:val="nil"/>
              <w:bottom w:val="single" w:color="000000" w:sz="4" w:space="0"/>
              <w:right w:val="single" w:color="000000" w:sz="4" w:space="0"/>
            </w:tcBorders>
            <w:noWrap w:val="0"/>
            <w:vAlign w:val="center"/>
          </w:tcPr>
          <w:p w14:paraId="2AC64365">
            <w:pPr>
              <w:widowControl/>
              <w:jc w:val="center"/>
              <w:textAlignment w:val="center"/>
              <w:rPr>
                <w:rFonts w:hint="eastAsia" w:ascii="宋体" w:hAnsi="宋体" w:cs="宋体"/>
                <w:color w:val="000000"/>
                <w:kern w:val="2"/>
                <w:sz w:val="16"/>
                <w:szCs w:val="16"/>
                <w:lang w:val="en-US" w:eastAsia="zh-CN" w:bidi="ar-SA"/>
              </w:rPr>
            </w:pPr>
          </w:p>
        </w:tc>
      </w:tr>
      <w:tr w14:paraId="272551BE">
        <w:tblPrEx>
          <w:tblCellMar>
            <w:top w:w="0" w:type="dxa"/>
            <w:left w:w="108" w:type="dxa"/>
            <w:bottom w:w="0" w:type="dxa"/>
            <w:right w:w="108" w:type="dxa"/>
          </w:tblCellMar>
        </w:tblPrEx>
        <w:trPr>
          <w:trHeight w:val="320" w:hRule="atLeast"/>
          <w:jc w:val="center"/>
        </w:trPr>
        <w:tc>
          <w:tcPr>
            <w:tcW w:w="1172" w:type="dxa"/>
            <w:gridSpan w:val="2"/>
            <w:vMerge w:val="continue"/>
            <w:tcBorders>
              <w:left w:val="single" w:color="000000" w:sz="4" w:space="0"/>
              <w:right w:val="single" w:color="000000" w:sz="4" w:space="0"/>
            </w:tcBorders>
            <w:noWrap/>
            <w:vAlign w:val="center"/>
          </w:tcPr>
          <w:p w14:paraId="437D9C6A">
            <w:pPr>
              <w:rPr>
                <w:rFonts w:hint="eastAsia" w:ascii="宋体" w:hAnsi="宋体" w:cs="宋体"/>
                <w:color w:val="000000"/>
                <w:sz w:val="16"/>
                <w:szCs w:val="16"/>
              </w:rPr>
            </w:pPr>
          </w:p>
        </w:tc>
        <w:tc>
          <w:tcPr>
            <w:tcW w:w="2258" w:type="dxa"/>
            <w:gridSpan w:val="2"/>
            <w:tcBorders>
              <w:top w:val="nil"/>
              <w:left w:val="nil"/>
              <w:bottom w:val="single" w:color="000000" w:sz="4" w:space="0"/>
              <w:right w:val="single" w:color="000000" w:sz="4" w:space="0"/>
            </w:tcBorders>
            <w:noWrap w:val="0"/>
            <w:vAlign w:val="center"/>
          </w:tcPr>
          <w:p w14:paraId="7D8369CD">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上年结转资金</w:t>
            </w:r>
          </w:p>
        </w:tc>
        <w:tc>
          <w:tcPr>
            <w:tcW w:w="709" w:type="dxa"/>
            <w:tcBorders>
              <w:top w:val="nil"/>
              <w:left w:val="nil"/>
              <w:bottom w:val="single" w:color="000000" w:sz="4" w:space="0"/>
              <w:right w:val="single" w:color="000000" w:sz="4" w:space="0"/>
            </w:tcBorders>
            <w:noWrap w:val="0"/>
            <w:vAlign w:val="center"/>
          </w:tcPr>
          <w:p w14:paraId="55005A0D">
            <w:pPr>
              <w:widowControl/>
              <w:jc w:val="center"/>
              <w:textAlignment w:val="center"/>
              <w:rPr>
                <w:rFonts w:hint="default" w:ascii="宋体" w:hAnsi="宋体" w:eastAsia="宋体" w:cs="宋体"/>
                <w:color w:val="000000"/>
                <w:sz w:val="16"/>
                <w:szCs w:val="16"/>
                <w:lang w:val="en-US" w:eastAsia="zh-CN"/>
              </w:rPr>
            </w:pPr>
          </w:p>
        </w:tc>
        <w:tc>
          <w:tcPr>
            <w:tcW w:w="1246" w:type="dxa"/>
            <w:gridSpan w:val="2"/>
            <w:tcBorders>
              <w:top w:val="nil"/>
              <w:left w:val="nil"/>
              <w:bottom w:val="single" w:color="000000" w:sz="4" w:space="0"/>
              <w:right w:val="single" w:color="000000" w:sz="4" w:space="0"/>
            </w:tcBorders>
            <w:noWrap w:val="0"/>
            <w:vAlign w:val="center"/>
          </w:tcPr>
          <w:p w14:paraId="4D01A980">
            <w:pPr>
              <w:widowControl/>
              <w:jc w:val="center"/>
              <w:textAlignment w:val="center"/>
              <w:rPr>
                <w:rFonts w:hint="default" w:ascii="宋体" w:hAnsi="宋体" w:eastAsia="宋体" w:cs="宋体"/>
                <w:color w:val="000000"/>
                <w:sz w:val="16"/>
                <w:szCs w:val="16"/>
                <w:lang w:val="en-US" w:eastAsia="zh-CN"/>
              </w:rPr>
            </w:pPr>
          </w:p>
        </w:tc>
        <w:tc>
          <w:tcPr>
            <w:tcW w:w="1265" w:type="dxa"/>
            <w:gridSpan w:val="2"/>
            <w:tcBorders>
              <w:top w:val="nil"/>
              <w:left w:val="nil"/>
              <w:bottom w:val="single" w:color="000000" w:sz="4" w:space="0"/>
              <w:right w:val="single" w:color="000000" w:sz="4" w:space="0"/>
            </w:tcBorders>
            <w:noWrap w:val="0"/>
            <w:vAlign w:val="center"/>
          </w:tcPr>
          <w:p w14:paraId="4675993B">
            <w:pPr>
              <w:widowControl/>
              <w:jc w:val="center"/>
              <w:textAlignment w:val="center"/>
              <w:rPr>
                <w:rFonts w:hint="default" w:ascii="宋体" w:hAnsi="宋体" w:eastAsia="宋体" w:cs="宋体"/>
                <w:color w:val="000000"/>
                <w:sz w:val="16"/>
                <w:szCs w:val="16"/>
                <w:lang w:val="en-US" w:eastAsia="zh-CN"/>
              </w:rPr>
            </w:pPr>
          </w:p>
        </w:tc>
        <w:tc>
          <w:tcPr>
            <w:tcW w:w="2421" w:type="dxa"/>
            <w:tcBorders>
              <w:top w:val="nil"/>
              <w:left w:val="nil"/>
              <w:bottom w:val="single" w:color="000000" w:sz="4" w:space="0"/>
              <w:right w:val="single" w:color="000000" w:sz="4" w:space="0"/>
            </w:tcBorders>
            <w:noWrap w:val="0"/>
            <w:vAlign w:val="center"/>
          </w:tcPr>
          <w:p w14:paraId="59491FEF">
            <w:pPr>
              <w:widowControl/>
              <w:jc w:val="center"/>
              <w:textAlignment w:val="center"/>
              <w:rPr>
                <w:rFonts w:hint="eastAsia" w:ascii="宋体" w:hAnsi="宋体" w:cs="宋体"/>
                <w:color w:val="000000"/>
                <w:kern w:val="2"/>
                <w:sz w:val="16"/>
                <w:szCs w:val="16"/>
                <w:lang w:val="en-US" w:eastAsia="zh-CN" w:bidi="ar-SA"/>
              </w:rPr>
            </w:pPr>
          </w:p>
        </w:tc>
      </w:tr>
      <w:tr w14:paraId="0AD8B448">
        <w:tblPrEx>
          <w:tblCellMar>
            <w:top w:w="0" w:type="dxa"/>
            <w:left w:w="108" w:type="dxa"/>
            <w:bottom w:w="0" w:type="dxa"/>
            <w:right w:w="108" w:type="dxa"/>
          </w:tblCellMar>
        </w:tblPrEx>
        <w:trPr>
          <w:trHeight w:val="320" w:hRule="atLeast"/>
          <w:jc w:val="center"/>
        </w:trPr>
        <w:tc>
          <w:tcPr>
            <w:tcW w:w="1172" w:type="dxa"/>
            <w:gridSpan w:val="2"/>
            <w:vMerge w:val="continue"/>
            <w:tcBorders>
              <w:left w:val="single" w:color="000000" w:sz="4" w:space="0"/>
              <w:right w:val="single" w:color="000000" w:sz="4" w:space="0"/>
            </w:tcBorders>
            <w:noWrap/>
            <w:vAlign w:val="center"/>
          </w:tcPr>
          <w:p w14:paraId="02249FE3">
            <w:pPr>
              <w:rPr>
                <w:rFonts w:hint="eastAsia" w:ascii="宋体" w:hAnsi="宋体" w:cs="宋体"/>
                <w:color w:val="000000"/>
                <w:sz w:val="16"/>
                <w:szCs w:val="16"/>
              </w:rPr>
            </w:pPr>
          </w:p>
        </w:tc>
        <w:tc>
          <w:tcPr>
            <w:tcW w:w="2258" w:type="dxa"/>
            <w:gridSpan w:val="2"/>
            <w:tcBorders>
              <w:top w:val="nil"/>
              <w:left w:val="nil"/>
              <w:bottom w:val="single" w:color="auto" w:sz="4" w:space="0"/>
              <w:right w:val="single" w:color="000000" w:sz="4" w:space="0"/>
            </w:tcBorders>
            <w:noWrap w:val="0"/>
            <w:vAlign w:val="center"/>
          </w:tcPr>
          <w:p w14:paraId="7D3BD1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其他资金</w:t>
            </w:r>
          </w:p>
        </w:tc>
        <w:tc>
          <w:tcPr>
            <w:tcW w:w="709" w:type="dxa"/>
            <w:tcBorders>
              <w:top w:val="nil"/>
              <w:left w:val="nil"/>
              <w:bottom w:val="single" w:color="auto" w:sz="4" w:space="0"/>
              <w:right w:val="single" w:color="000000" w:sz="4" w:space="0"/>
            </w:tcBorders>
            <w:noWrap w:val="0"/>
            <w:vAlign w:val="center"/>
          </w:tcPr>
          <w:p w14:paraId="52A3DEE6">
            <w:pPr>
              <w:jc w:val="center"/>
              <w:rPr>
                <w:rFonts w:hint="eastAsia" w:ascii="宋体" w:hAnsi="宋体" w:cs="宋体"/>
                <w:color w:val="000000"/>
                <w:sz w:val="16"/>
                <w:szCs w:val="16"/>
              </w:rPr>
            </w:pPr>
          </w:p>
        </w:tc>
        <w:tc>
          <w:tcPr>
            <w:tcW w:w="1246" w:type="dxa"/>
            <w:gridSpan w:val="2"/>
            <w:tcBorders>
              <w:top w:val="nil"/>
              <w:left w:val="nil"/>
              <w:bottom w:val="single" w:color="auto" w:sz="4" w:space="0"/>
              <w:right w:val="single" w:color="000000" w:sz="4" w:space="0"/>
            </w:tcBorders>
            <w:noWrap w:val="0"/>
            <w:vAlign w:val="center"/>
          </w:tcPr>
          <w:p w14:paraId="562736C9">
            <w:pPr>
              <w:jc w:val="center"/>
              <w:rPr>
                <w:rFonts w:hint="eastAsia" w:ascii="宋体" w:hAnsi="宋体" w:cs="宋体"/>
                <w:color w:val="000000"/>
                <w:sz w:val="16"/>
                <w:szCs w:val="16"/>
              </w:rPr>
            </w:pPr>
          </w:p>
        </w:tc>
        <w:tc>
          <w:tcPr>
            <w:tcW w:w="1265" w:type="dxa"/>
            <w:gridSpan w:val="2"/>
            <w:tcBorders>
              <w:top w:val="nil"/>
              <w:left w:val="nil"/>
              <w:bottom w:val="single" w:color="auto" w:sz="4" w:space="0"/>
              <w:right w:val="single" w:color="000000" w:sz="4" w:space="0"/>
            </w:tcBorders>
            <w:noWrap w:val="0"/>
            <w:vAlign w:val="center"/>
          </w:tcPr>
          <w:p w14:paraId="423BC71D">
            <w:pPr>
              <w:jc w:val="center"/>
              <w:rPr>
                <w:rFonts w:hint="eastAsia" w:ascii="宋体" w:hAnsi="宋体" w:cs="宋体"/>
                <w:color w:val="000000"/>
                <w:sz w:val="16"/>
                <w:szCs w:val="16"/>
              </w:rPr>
            </w:pPr>
          </w:p>
        </w:tc>
        <w:tc>
          <w:tcPr>
            <w:tcW w:w="2421" w:type="dxa"/>
            <w:tcBorders>
              <w:top w:val="nil"/>
              <w:left w:val="nil"/>
              <w:bottom w:val="single" w:color="auto" w:sz="4" w:space="0"/>
              <w:right w:val="single" w:color="000000" w:sz="4" w:space="0"/>
            </w:tcBorders>
            <w:noWrap w:val="0"/>
            <w:vAlign w:val="center"/>
          </w:tcPr>
          <w:p w14:paraId="3878CAB1">
            <w:pPr>
              <w:widowControl/>
              <w:jc w:val="center"/>
              <w:textAlignment w:val="center"/>
              <w:rPr>
                <w:rFonts w:hint="eastAsia" w:ascii="宋体" w:hAnsi="宋体" w:cs="宋体"/>
                <w:color w:val="000000"/>
                <w:kern w:val="2"/>
                <w:sz w:val="16"/>
                <w:szCs w:val="16"/>
                <w:lang w:val="en-US" w:eastAsia="zh-CN" w:bidi="ar-SA"/>
              </w:rPr>
            </w:pPr>
          </w:p>
        </w:tc>
      </w:tr>
      <w:tr w14:paraId="099BACB0">
        <w:tblPrEx>
          <w:tblCellMar>
            <w:top w:w="0" w:type="dxa"/>
            <w:left w:w="108" w:type="dxa"/>
            <w:bottom w:w="0" w:type="dxa"/>
            <w:right w:w="108" w:type="dxa"/>
          </w:tblCellMar>
        </w:tblPrEx>
        <w:trPr>
          <w:trHeight w:val="320" w:hRule="atLeast"/>
          <w:jc w:val="center"/>
        </w:trPr>
        <w:tc>
          <w:tcPr>
            <w:tcW w:w="1172" w:type="dxa"/>
            <w:gridSpan w:val="2"/>
            <w:vMerge w:val="continue"/>
            <w:tcBorders>
              <w:left w:val="single" w:color="000000" w:sz="4" w:space="0"/>
              <w:bottom w:val="single" w:color="000000" w:sz="4" w:space="0"/>
              <w:right w:val="single" w:color="auto" w:sz="4" w:space="0"/>
            </w:tcBorders>
            <w:noWrap/>
            <w:vAlign w:val="center"/>
          </w:tcPr>
          <w:p w14:paraId="0D663B4F">
            <w:pPr>
              <w:rPr>
                <w:rFonts w:hint="eastAsia" w:ascii="宋体" w:hAnsi="宋体" w:cs="宋体"/>
                <w:color w:val="000000"/>
                <w:sz w:val="16"/>
                <w:szCs w:val="16"/>
              </w:rPr>
            </w:pPr>
          </w:p>
        </w:tc>
        <w:tc>
          <w:tcPr>
            <w:tcW w:w="2258" w:type="dxa"/>
            <w:gridSpan w:val="2"/>
            <w:tcBorders>
              <w:top w:val="single" w:color="auto" w:sz="4" w:space="0"/>
              <w:left w:val="single" w:color="auto" w:sz="4" w:space="0"/>
              <w:bottom w:val="single" w:color="auto" w:sz="4" w:space="0"/>
              <w:right w:val="single" w:color="000000" w:sz="4" w:space="0"/>
            </w:tcBorders>
            <w:noWrap w:val="0"/>
            <w:vAlign w:val="center"/>
          </w:tcPr>
          <w:p w14:paraId="4781637C">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年度资金总和</w:t>
            </w:r>
          </w:p>
        </w:tc>
        <w:tc>
          <w:tcPr>
            <w:tcW w:w="709" w:type="dxa"/>
            <w:tcBorders>
              <w:top w:val="single" w:color="auto" w:sz="4" w:space="0"/>
              <w:left w:val="nil"/>
              <w:bottom w:val="single" w:color="auto" w:sz="4" w:space="0"/>
              <w:right w:val="single" w:color="000000" w:sz="4" w:space="0"/>
            </w:tcBorders>
            <w:noWrap w:val="0"/>
            <w:vAlign w:val="center"/>
          </w:tcPr>
          <w:p w14:paraId="6170F44F">
            <w:pPr>
              <w:widowControl/>
              <w:jc w:val="center"/>
              <w:textAlignment w:val="center"/>
              <w:rPr>
                <w:rFonts w:hint="eastAsia" w:ascii="宋体" w:hAnsi="宋体" w:cs="宋体"/>
                <w:color w:val="000000"/>
                <w:sz w:val="16"/>
                <w:szCs w:val="16"/>
              </w:rPr>
            </w:pPr>
          </w:p>
        </w:tc>
        <w:tc>
          <w:tcPr>
            <w:tcW w:w="1246" w:type="dxa"/>
            <w:gridSpan w:val="2"/>
            <w:tcBorders>
              <w:top w:val="single" w:color="auto" w:sz="4" w:space="0"/>
              <w:left w:val="nil"/>
              <w:bottom w:val="single" w:color="auto" w:sz="4" w:space="0"/>
              <w:right w:val="single" w:color="000000" w:sz="4" w:space="0"/>
            </w:tcBorders>
            <w:noWrap w:val="0"/>
            <w:vAlign w:val="center"/>
          </w:tcPr>
          <w:p w14:paraId="0C262D50">
            <w:pPr>
              <w:widowControl/>
              <w:jc w:val="center"/>
              <w:textAlignment w:val="center"/>
              <w:rPr>
                <w:rFonts w:hint="eastAsia" w:ascii="宋体" w:hAnsi="宋体" w:cs="宋体"/>
                <w:color w:val="000000"/>
                <w:sz w:val="16"/>
                <w:szCs w:val="16"/>
              </w:rPr>
            </w:pPr>
          </w:p>
        </w:tc>
        <w:tc>
          <w:tcPr>
            <w:tcW w:w="1265" w:type="dxa"/>
            <w:gridSpan w:val="2"/>
            <w:tcBorders>
              <w:top w:val="single" w:color="auto" w:sz="4" w:space="0"/>
              <w:left w:val="nil"/>
              <w:bottom w:val="single" w:color="auto" w:sz="4" w:space="0"/>
              <w:right w:val="single" w:color="000000" w:sz="4" w:space="0"/>
            </w:tcBorders>
            <w:noWrap w:val="0"/>
            <w:vAlign w:val="center"/>
          </w:tcPr>
          <w:p w14:paraId="503FFF21">
            <w:pPr>
              <w:widowControl/>
              <w:jc w:val="center"/>
              <w:textAlignment w:val="center"/>
              <w:rPr>
                <w:rFonts w:hint="eastAsia" w:ascii="宋体" w:hAnsi="宋体" w:cs="宋体"/>
                <w:color w:val="000000"/>
                <w:sz w:val="16"/>
                <w:szCs w:val="16"/>
              </w:rPr>
            </w:pPr>
          </w:p>
        </w:tc>
        <w:tc>
          <w:tcPr>
            <w:tcW w:w="2421" w:type="dxa"/>
            <w:tcBorders>
              <w:top w:val="single" w:color="auto" w:sz="4" w:space="0"/>
              <w:left w:val="nil"/>
              <w:bottom w:val="single" w:color="auto" w:sz="4" w:space="0"/>
              <w:right w:val="single" w:color="auto" w:sz="4" w:space="0"/>
            </w:tcBorders>
            <w:noWrap w:val="0"/>
            <w:vAlign w:val="center"/>
          </w:tcPr>
          <w:p w14:paraId="590568CA">
            <w:pPr>
              <w:widowControl/>
              <w:jc w:val="center"/>
              <w:textAlignment w:val="center"/>
              <w:rPr>
                <w:rFonts w:hint="eastAsia" w:ascii="宋体" w:hAnsi="宋体" w:cs="宋体"/>
                <w:color w:val="000000"/>
                <w:kern w:val="0"/>
                <w:sz w:val="16"/>
                <w:szCs w:val="16"/>
                <w:lang w:bidi="ar"/>
              </w:rPr>
            </w:pPr>
          </w:p>
        </w:tc>
      </w:tr>
      <w:tr w14:paraId="0C42D0F7">
        <w:tblPrEx>
          <w:tblCellMar>
            <w:top w:w="0" w:type="dxa"/>
            <w:left w:w="108" w:type="dxa"/>
            <w:bottom w:w="0" w:type="dxa"/>
            <w:right w:w="108" w:type="dxa"/>
          </w:tblCellMar>
        </w:tblPrEx>
        <w:trPr>
          <w:trHeight w:val="320" w:hRule="atLeast"/>
          <w:jc w:val="center"/>
        </w:trPr>
        <w:tc>
          <w:tcPr>
            <w:tcW w:w="520" w:type="dxa"/>
            <w:vMerge w:val="restart"/>
            <w:tcBorders>
              <w:top w:val="nil"/>
              <w:left w:val="single" w:color="000000" w:sz="4" w:space="0"/>
              <w:bottom w:val="single" w:color="000000" w:sz="4" w:space="0"/>
              <w:right w:val="single" w:color="000000" w:sz="4" w:space="0"/>
            </w:tcBorders>
            <w:noWrap w:val="0"/>
            <w:vAlign w:val="center"/>
          </w:tcPr>
          <w:p w14:paraId="141BDF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年度目标</w:t>
            </w:r>
          </w:p>
        </w:tc>
        <w:tc>
          <w:tcPr>
            <w:tcW w:w="4865" w:type="dxa"/>
            <w:gridSpan w:val="6"/>
            <w:tcBorders>
              <w:top w:val="nil"/>
              <w:left w:val="nil"/>
              <w:bottom w:val="single" w:color="000000" w:sz="4" w:space="0"/>
              <w:right w:val="single" w:color="000000" w:sz="4" w:space="0"/>
            </w:tcBorders>
            <w:noWrap w:val="0"/>
            <w:vAlign w:val="center"/>
          </w:tcPr>
          <w:p w14:paraId="527057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预期目标</w:t>
            </w:r>
          </w:p>
        </w:tc>
        <w:tc>
          <w:tcPr>
            <w:tcW w:w="3686" w:type="dxa"/>
            <w:gridSpan w:val="3"/>
            <w:tcBorders>
              <w:top w:val="nil"/>
              <w:left w:val="nil"/>
              <w:bottom w:val="single" w:color="000000" w:sz="4" w:space="0"/>
              <w:right w:val="single" w:color="000000" w:sz="4" w:space="0"/>
            </w:tcBorders>
            <w:noWrap w:val="0"/>
            <w:vAlign w:val="center"/>
          </w:tcPr>
          <w:p w14:paraId="3DE1C4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实际完成情况</w:t>
            </w:r>
          </w:p>
        </w:tc>
      </w:tr>
      <w:tr w14:paraId="7E8BA154">
        <w:tblPrEx>
          <w:tblCellMar>
            <w:top w:w="0" w:type="dxa"/>
            <w:left w:w="108" w:type="dxa"/>
            <w:bottom w:w="0" w:type="dxa"/>
            <w:right w:w="108" w:type="dxa"/>
          </w:tblCellMar>
        </w:tblPrEx>
        <w:trPr>
          <w:trHeight w:val="320" w:hRule="atLeast"/>
          <w:jc w:val="center"/>
        </w:trPr>
        <w:tc>
          <w:tcPr>
            <w:tcW w:w="520" w:type="dxa"/>
            <w:vMerge w:val="continue"/>
            <w:tcBorders>
              <w:top w:val="nil"/>
              <w:left w:val="single" w:color="000000" w:sz="4" w:space="0"/>
              <w:bottom w:val="single" w:color="000000" w:sz="4" w:space="0"/>
              <w:right w:val="single" w:color="000000" w:sz="4" w:space="0"/>
            </w:tcBorders>
            <w:noWrap w:val="0"/>
            <w:vAlign w:val="center"/>
          </w:tcPr>
          <w:p w14:paraId="1D015234">
            <w:pPr>
              <w:jc w:val="center"/>
              <w:rPr>
                <w:rFonts w:hint="eastAsia" w:ascii="宋体" w:hAnsi="宋体" w:cs="宋体"/>
                <w:color w:val="000000"/>
                <w:sz w:val="16"/>
                <w:szCs w:val="16"/>
              </w:rPr>
            </w:pPr>
          </w:p>
        </w:tc>
        <w:tc>
          <w:tcPr>
            <w:tcW w:w="4865" w:type="dxa"/>
            <w:gridSpan w:val="6"/>
            <w:tcBorders>
              <w:top w:val="nil"/>
              <w:left w:val="nil"/>
              <w:bottom w:val="single" w:color="000000" w:sz="4" w:space="0"/>
              <w:right w:val="single" w:color="000000" w:sz="4" w:space="0"/>
            </w:tcBorders>
            <w:noWrap w:val="0"/>
            <w:vAlign w:val="center"/>
          </w:tcPr>
          <w:p w14:paraId="1D041767">
            <w:pPr>
              <w:jc w:val="center"/>
              <w:rPr>
                <w:rFonts w:hint="default" w:ascii="宋体" w:hAnsi="宋体" w:eastAsia="宋体" w:cs="宋体"/>
                <w:color w:val="000000"/>
                <w:sz w:val="16"/>
                <w:szCs w:val="16"/>
                <w:lang w:val="en-US" w:eastAsia="zh-CN"/>
              </w:rPr>
            </w:pPr>
          </w:p>
        </w:tc>
        <w:tc>
          <w:tcPr>
            <w:tcW w:w="3686" w:type="dxa"/>
            <w:gridSpan w:val="3"/>
            <w:tcBorders>
              <w:top w:val="nil"/>
              <w:left w:val="nil"/>
              <w:bottom w:val="single" w:color="000000" w:sz="4" w:space="0"/>
              <w:right w:val="single" w:color="000000" w:sz="4" w:space="0"/>
            </w:tcBorders>
            <w:noWrap w:val="0"/>
            <w:vAlign w:val="center"/>
          </w:tcPr>
          <w:p w14:paraId="1FFE2162">
            <w:pPr>
              <w:jc w:val="center"/>
              <w:rPr>
                <w:rFonts w:hint="eastAsia" w:ascii="宋体" w:hAnsi="宋体" w:cs="宋体"/>
                <w:color w:val="000000"/>
                <w:sz w:val="16"/>
                <w:szCs w:val="16"/>
              </w:rPr>
            </w:pPr>
          </w:p>
        </w:tc>
      </w:tr>
      <w:tr w14:paraId="361123BF">
        <w:tblPrEx>
          <w:tblCellMar>
            <w:top w:w="0" w:type="dxa"/>
            <w:left w:w="108" w:type="dxa"/>
            <w:bottom w:w="0" w:type="dxa"/>
            <w:right w:w="108" w:type="dxa"/>
          </w:tblCellMar>
        </w:tblPrEx>
        <w:trPr>
          <w:trHeight w:val="353" w:hRule="atLeast"/>
          <w:jc w:val="center"/>
        </w:trPr>
        <w:tc>
          <w:tcPr>
            <w:tcW w:w="520" w:type="dxa"/>
            <w:vMerge w:val="restart"/>
            <w:tcBorders>
              <w:top w:val="single" w:color="auto" w:sz="4" w:space="0"/>
              <w:left w:val="single" w:color="auto" w:sz="4" w:space="0"/>
              <w:bottom w:val="single" w:color="auto" w:sz="4" w:space="0"/>
              <w:right w:val="single" w:color="000000" w:sz="4" w:space="0"/>
            </w:tcBorders>
            <w:noWrap w:val="0"/>
            <w:vAlign w:val="center"/>
          </w:tcPr>
          <w:p w14:paraId="6862AD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绩效指标</w:t>
            </w:r>
          </w:p>
        </w:tc>
        <w:tc>
          <w:tcPr>
            <w:tcW w:w="652" w:type="dxa"/>
            <w:tcBorders>
              <w:top w:val="single" w:color="auto" w:sz="4" w:space="0"/>
              <w:left w:val="nil"/>
              <w:bottom w:val="single" w:color="auto" w:sz="4" w:space="0"/>
              <w:right w:val="single" w:color="000000" w:sz="4" w:space="0"/>
            </w:tcBorders>
            <w:noWrap w:val="0"/>
            <w:vAlign w:val="center"/>
          </w:tcPr>
          <w:p w14:paraId="37A291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一级指标</w:t>
            </w:r>
          </w:p>
        </w:tc>
        <w:tc>
          <w:tcPr>
            <w:tcW w:w="968" w:type="dxa"/>
            <w:tcBorders>
              <w:top w:val="single" w:color="auto" w:sz="4" w:space="0"/>
              <w:left w:val="nil"/>
              <w:bottom w:val="single" w:color="auto" w:sz="4" w:space="0"/>
              <w:right w:val="single" w:color="auto" w:sz="4" w:space="0"/>
            </w:tcBorders>
            <w:noWrap w:val="0"/>
            <w:vAlign w:val="center"/>
          </w:tcPr>
          <w:p w14:paraId="77849F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二级指标</w:t>
            </w:r>
          </w:p>
        </w:tc>
        <w:tc>
          <w:tcPr>
            <w:tcW w:w="2431" w:type="dxa"/>
            <w:gridSpan w:val="3"/>
            <w:tcBorders>
              <w:top w:val="single" w:color="000000" w:sz="4" w:space="0"/>
              <w:left w:val="single" w:color="auto" w:sz="4" w:space="0"/>
              <w:bottom w:val="single" w:color="000000" w:sz="4" w:space="0"/>
              <w:right w:val="single" w:color="auto" w:sz="4" w:space="0"/>
            </w:tcBorders>
            <w:noWrap w:val="0"/>
            <w:vAlign w:val="center"/>
          </w:tcPr>
          <w:p w14:paraId="6B38AA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三级指标</w:t>
            </w:r>
          </w:p>
        </w:tc>
        <w:tc>
          <w:tcPr>
            <w:tcW w:w="814" w:type="dxa"/>
            <w:tcBorders>
              <w:top w:val="single" w:color="auto" w:sz="4" w:space="0"/>
              <w:left w:val="single" w:color="auto" w:sz="4" w:space="0"/>
              <w:bottom w:val="single" w:color="auto" w:sz="4" w:space="0"/>
              <w:right w:val="single" w:color="000000" w:sz="4" w:space="0"/>
            </w:tcBorders>
            <w:noWrap w:val="0"/>
            <w:vAlign w:val="center"/>
          </w:tcPr>
          <w:p w14:paraId="30567C28">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年度</w:t>
            </w:r>
          </w:p>
          <w:p w14:paraId="457C31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指标值</w:t>
            </w:r>
          </w:p>
        </w:tc>
        <w:tc>
          <w:tcPr>
            <w:tcW w:w="782" w:type="dxa"/>
            <w:tcBorders>
              <w:top w:val="single" w:color="auto" w:sz="4" w:space="0"/>
              <w:left w:val="nil"/>
              <w:bottom w:val="single" w:color="auto" w:sz="4" w:space="0"/>
              <w:right w:val="single" w:color="000000" w:sz="4" w:space="0"/>
            </w:tcBorders>
            <w:noWrap w:val="0"/>
            <w:vAlign w:val="center"/>
          </w:tcPr>
          <w:p w14:paraId="017C9726">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实际</w:t>
            </w:r>
          </w:p>
          <w:p w14:paraId="0961A6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完成值</w:t>
            </w:r>
          </w:p>
        </w:tc>
        <w:tc>
          <w:tcPr>
            <w:tcW w:w="2904" w:type="dxa"/>
            <w:gridSpan w:val="2"/>
            <w:tcBorders>
              <w:top w:val="single" w:color="auto" w:sz="4" w:space="0"/>
              <w:left w:val="nil"/>
              <w:bottom w:val="single" w:color="auto" w:sz="4" w:space="0"/>
              <w:right w:val="single" w:color="auto" w:sz="4" w:space="0"/>
            </w:tcBorders>
            <w:noWrap w:val="0"/>
            <w:vAlign w:val="center"/>
          </w:tcPr>
          <w:p w14:paraId="54C09CDE">
            <w:pPr>
              <w:widowControl/>
              <w:jc w:val="center"/>
              <w:textAlignment w:val="center"/>
              <w:rPr>
                <w:rFonts w:hint="eastAsia" w:ascii="宋体" w:hAnsi="宋体" w:cs="宋体"/>
                <w:color w:val="000000"/>
                <w:sz w:val="16"/>
                <w:szCs w:val="16"/>
              </w:rPr>
            </w:pPr>
          </w:p>
        </w:tc>
      </w:tr>
      <w:tr w14:paraId="130907B0">
        <w:tblPrEx>
          <w:tblCellMar>
            <w:top w:w="0" w:type="dxa"/>
            <w:left w:w="108" w:type="dxa"/>
            <w:bottom w:w="0" w:type="dxa"/>
            <w:right w:w="108" w:type="dxa"/>
          </w:tblCellMar>
        </w:tblPrEx>
        <w:trPr>
          <w:trHeight w:val="300"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14:paraId="543DA6C5">
            <w:pPr>
              <w:jc w:val="center"/>
              <w:rPr>
                <w:rFonts w:hint="eastAsia" w:ascii="宋体" w:hAnsi="宋体" w:cs="宋体"/>
                <w:color w:val="000000"/>
                <w:sz w:val="16"/>
                <w:szCs w:val="16"/>
              </w:rPr>
            </w:pPr>
          </w:p>
        </w:tc>
        <w:tc>
          <w:tcPr>
            <w:tcW w:w="652" w:type="dxa"/>
            <w:vMerge w:val="restart"/>
            <w:tcBorders>
              <w:top w:val="single" w:color="auto" w:sz="4" w:space="0"/>
              <w:left w:val="nil"/>
              <w:bottom w:val="single" w:color="auto" w:sz="4" w:space="0"/>
              <w:right w:val="single" w:color="000000" w:sz="4" w:space="0"/>
            </w:tcBorders>
            <w:noWrap w:val="0"/>
            <w:vAlign w:val="center"/>
          </w:tcPr>
          <w:p w14:paraId="34837A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产出指标</w:t>
            </w:r>
          </w:p>
        </w:tc>
        <w:tc>
          <w:tcPr>
            <w:tcW w:w="968" w:type="dxa"/>
            <w:vMerge w:val="restart"/>
            <w:tcBorders>
              <w:top w:val="single" w:color="auto" w:sz="4" w:space="0"/>
              <w:left w:val="nil"/>
              <w:bottom w:val="single" w:color="auto" w:sz="4" w:space="0"/>
              <w:right w:val="single" w:color="000000" w:sz="4" w:space="0"/>
            </w:tcBorders>
            <w:noWrap w:val="0"/>
            <w:vAlign w:val="center"/>
          </w:tcPr>
          <w:p w14:paraId="1624B9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数量指标</w:t>
            </w:r>
          </w:p>
        </w:tc>
        <w:tc>
          <w:tcPr>
            <w:tcW w:w="2431" w:type="dxa"/>
            <w:gridSpan w:val="3"/>
            <w:tcBorders>
              <w:top w:val="nil"/>
              <w:left w:val="nil"/>
              <w:bottom w:val="single" w:color="000000" w:sz="4" w:space="0"/>
              <w:right w:val="single" w:color="auto" w:sz="4" w:space="0"/>
            </w:tcBorders>
            <w:noWrap w:val="0"/>
            <w:vAlign w:val="center"/>
          </w:tcPr>
          <w:p w14:paraId="7825933D">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指标1：</w:t>
            </w:r>
          </w:p>
        </w:tc>
        <w:tc>
          <w:tcPr>
            <w:tcW w:w="814" w:type="dxa"/>
            <w:tcBorders>
              <w:top w:val="single" w:color="auto" w:sz="4" w:space="0"/>
              <w:left w:val="single" w:color="auto" w:sz="4" w:space="0"/>
              <w:bottom w:val="single" w:color="auto" w:sz="4" w:space="0"/>
              <w:right w:val="single" w:color="000000" w:sz="4" w:space="0"/>
            </w:tcBorders>
            <w:noWrap w:val="0"/>
            <w:vAlign w:val="center"/>
          </w:tcPr>
          <w:p w14:paraId="0106B764">
            <w:pPr>
              <w:widowControl/>
              <w:jc w:val="center"/>
              <w:textAlignment w:val="center"/>
              <w:rPr>
                <w:rFonts w:hint="eastAsia" w:ascii="宋体" w:hAnsi="宋体" w:eastAsia="宋体" w:cs="宋体"/>
                <w:color w:val="000000"/>
                <w:sz w:val="16"/>
                <w:szCs w:val="16"/>
                <w:lang w:eastAsia="zh-CN"/>
              </w:rPr>
            </w:pPr>
          </w:p>
        </w:tc>
        <w:tc>
          <w:tcPr>
            <w:tcW w:w="782" w:type="dxa"/>
            <w:tcBorders>
              <w:top w:val="single" w:color="auto" w:sz="4" w:space="0"/>
              <w:left w:val="nil"/>
              <w:bottom w:val="single" w:color="auto" w:sz="4" w:space="0"/>
              <w:right w:val="single" w:color="auto" w:sz="4" w:space="0"/>
            </w:tcBorders>
            <w:noWrap w:val="0"/>
            <w:vAlign w:val="center"/>
          </w:tcPr>
          <w:p w14:paraId="526DD161">
            <w:pPr>
              <w:widowControl/>
              <w:jc w:val="center"/>
              <w:textAlignment w:val="center"/>
              <w:rPr>
                <w:rFonts w:hint="default" w:ascii="宋体" w:hAnsi="宋体" w:eastAsia="宋体" w:cs="宋体"/>
                <w:color w:val="000000"/>
                <w:sz w:val="16"/>
                <w:szCs w:val="16"/>
                <w:lang w:val="en-US" w:eastAsia="zh-CN"/>
              </w:rPr>
            </w:pPr>
          </w:p>
        </w:tc>
        <w:tc>
          <w:tcPr>
            <w:tcW w:w="2904" w:type="dxa"/>
            <w:gridSpan w:val="2"/>
            <w:tcBorders>
              <w:top w:val="nil"/>
              <w:left w:val="single" w:color="auto" w:sz="4" w:space="0"/>
              <w:bottom w:val="single" w:color="000000" w:sz="4" w:space="0"/>
              <w:right w:val="single" w:color="000000" w:sz="4" w:space="0"/>
            </w:tcBorders>
            <w:noWrap w:val="0"/>
            <w:vAlign w:val="center"/>
          </w:tcPr>
          <w:p w14:paraId="6C07499B">
            <w:pPr>
              <w:widowControl/>
              <w:jc w:val="center"/>
              <w:textAlignment w:val="center"/>
              <w:rPr>
                <w:rFonts w:hint="default" w:ascii="宋体" w:hAnsi="宋体" w:eastAsia="宋体" w:cs="宋体"/>
                <w:color w:val="000000"/>
                <w:sz w:val="16"/>
                <w:szCs w:val="16"/>
                <w:lang w:val="en-US" w:eastAsia="zh-CN"/>
              </w:rPr>
            </w:pPr>
          </w:p>
        </w:tc>
      </w:tr>
      <w:tr w14:paraId="6DE2B641">
        <w:tblPrEx>
          <w:tblCellMar>
            <w:top w:w="0" w:type="dxa"/>
            <w:left w:w="108" w:type="dxa"/>
            <w:bottom w:w="0" w:type="dxa"/>
            <w:right w:w="108" w:type="dxa"/>
          </w:tblCellMar>
        </w:tblPrEx>
        <w:trPr>
          <w:trHeight w:val="300"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14:paraId="06AA3D96">
            <w:pPr>
              <w:jc w:val="center"/>
              <w:rPr>
                <w:rFonts w:hint="eastAsia" w:ascii="宋体" w:hAnsi="宋体" w:cs="宋体"/>
                <w:color w:val="000000"/>
                <w:sz w:val="16"/>
                <w:szCs w:val="16"/>
              </w:rPr>
            </w:pPr>
          </w:p>
        </w:tc>
        <w:tc>
          <w:tcPr>
            <w:tcW w:w="652" w:type="dxa"/>
            <w:vMerge w:val="continue"/>
            <w:tcBorders>
              <w:top w:val="single" w:color="auto" w:sz="4" w:space="0"/>
              <w:left w:val="nil"/>
              <w:bottom w:val="single" w:color="auto" w:sz="4" w:space="0"/>
              <w:right w:val="single" w:color="000000" w:sz="4" w:space="0"/>
            </w:tcBorders>
            <w:noWrap w:val="0"/>
            <w:vAlign w:val="center"/>
          </w:tcPr>
          <w:p w14:paraId="73C92241">
            <w:pPr>
              <w:jc w:val="center"/>
              <w:rPr>
                <w:rFonts w:hint="eastAsia" w:ascii="宋体" w:hAnsi="宋体" w:cs="宋体"/>
                <w:color w:val="000000"/>
                <w:sz w:val="16"/>
                <w:szCs w:val="16"/>
              </w:rPr>
            </w:pPr>
          </w:p>
        </w:tc>
        <w:tc>
          <w:tcPr>
            <w:tcW w:w="968" w:type="dxa"/>
            <w:vMerge w:val="continue"/>
            <w:tcBorders>
              <w:top w:val="single" w:color="auto" w:sz="4" w:space="0"/>
              <w:left w:val="nil"/>
              <w:bottom w:val="single" w:color="auto" w:sz="4" w:space="0"/>
              <w:right w:val="single" w:color="000000" w:sz="4" w:space="0"/>
            </w:tcBorders>
            <w:noWrap w:val="0"/>
            <w:vAlign w:val="center"/>
          </w:tcPr>
          <w:p w14:paraId="7C5C7899">
            <w:pPr>
              <w:jc w:val="center"/>
              <w:rPr>
                <w:rFonts w:hint="eastAsia" w:ascii="宋体" w:hAnsi="宋体" w:cs="宋体"/>
                <w:color w:val="000000"/>
                <w:sz w:val="16"/>
                <w:szCs w:val="16"/>
              </w:rPr>
            </w:pPr>
          </w:p>
        </w:tc>
        <w:tc>
          <w:tcPr>
            <w:tcW w:w="2431" w:type="dxa"/>
            <w:gridSpan w:val="3"/>
            <w:tcBorders>
              <w:top w:val="nil"/>
              <w:left w:val="nil"/>
              <w:bottom w:val="single" w:color="auto" w:sz="4" w:space="0"/>
              <w:right w:val="single" w:color="000000" w:sz="4" w:space="0"/>
            </w:tcBorders>
            <w:noWrap w:val="0"/>
            <w:vAlign w:val="center"/>
          </w:tcPr>
          <w:p w14:paraId="0A4615D0">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14" w:type="dxa"/>
            <w:tcBorders>
              <w:top w:val="single" w:color="auto" w:sz="4" w:space="0"/>
              <w:left w:val="nil"/>
              <w:bottom w:val="single" w:color="auto" w:sz="4" w:space="0"/>
              <w:right w:val="single" w:color="000000" w:sz="4" w:space="0"/>
            </w:tcBorders>
            <w:noWrap w:val="0"/>
            <w:vAlign w:val="center"/>
          </w:tcPr>
          <w:p w14:paraId="1237DE33">
            <w:pPr>
              <w:jc w:val="center"/>
              <w:rPr>
                <w:rFonts w:hint="eastAsia" w:ascii="宋体" w:hAnsi="宋体" w:cs="宋体"/>
                <w:color w:val="000000"/>
                <w:sz w:val="16"/>
                <w:szCs w:val="16"/>
              </w:rPr>
            </w:pPr>
          </w:p>
        </w:tc>
        <w:tc>
          <w:tcPr>
            <w:tcW w:w="782" w:type="dxa"/>
            <w:tcBorders>
              <w:top w:val="single" w:color="auto" w:sz="4" w:space="0"/>
              <w:left w:val="nil"/>
              <w:bottom w:val="single" w:color="auto" w:sz="4" w:space="0"/>
              <w:right w:val="single" w:color="000000" w:sz="4" w:space="0"/>
            </w:tcBorders>
            <w:noWrap w:val="0"/>
            <w:vAlign w:val="center"/>
          </w:tcPr>
          <w:p w14:paraId="203507F9">
            <w:pPr>
              <w:jc w:val="center"/>
              <w:rPr>
                <w:rFonts w:hint="eastAsia" w:ascii="宋体" w:hAnsi="宋体" w:cs="宋体"/>
                <w:color w:val="000000"/>
                <w:sz w:val="16"/>
                <w:szCs w:val="16"/>
              </w:rPr>
            </w:pPr>
          </w:p>
        </w:tc>
        <w:tc>
          <w:tcPr>
            <w:tcW w:w="2904" w:type="dxa"/>
            <w:gridSpan w:val="2"/>
            <w:tcBorders>
              <w:left w:val="nil"/>
              <w:bottom w:val="single" w:color="auto" w:sz="4" w:space="0"/>
              <w:right w:val="single" w:color="000000" w:sz="4" w:space="0"/>
            </w:tcBorders>
            <w:noWrap w:val="0"/>
            <w:vAlign w:val="center"/>
          </w:tcPr>
          <w:p w14:paraId="59A993A5">
            <w:pPr>
              <w:jc w:val="center"/>
              <w:rPr>
                <w:rFonts w:hint="eastAsia" w:ascii="宋体" w:hAnsi="宋体" w:cs="宋体"/>
                <w:color w:val="000000"/>
                <w:sz w:val="16"/>
                <w:szCs w:val="16"/>
              </w:rPr>
            </w:pPr>
          </w:p>
        </w:tc>
      </w:tr>
      <w:tr w14:paraId="7EDE752B">
        <w:tblPrEx>
          <w:tblCellMar>
            <w:top w:w="0" w:type="dxa"/>
            <w:left w:w="108" w:type="dxa"/>
            <w:bottom w:w="0" w:type="dxa"/>
            <w:right w:w="108" w:type="dxa"/>
          </w:tblCellMar>
        </w:tblPrEx>
        <w:trPr>
          <w:trHeight w:val="300"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14:paraId="06670EF3">
            <w:pPr>
              <w:jc w:val="center"/>
              <w:rPr>
                <w:rFonts w:hint="eastAsia" w:ascii="宋体" w:hAnsi="宋体" w:cs="宋体"/>
                <w:color w:val="000000"/>
                <w:sz w:val="16"/>
                <w:szCs w:val="16"/>
              </w:rPr>
            </w:pPr>
          </w:p>
        </w:tc>
        <w:tc>
          <w:tcPr>
            <w:tcW w:w="652" w:type="dxa"/>
            <w:vMerge w:val="continue"/>
            <w:tcBorders>
              <w:top w:val="single" w:color="auto" w:sz="4" w:space="0"/>
              <w:left w:val="nil"/>
              <w:bottom w:val="single" w:color="auto" w:sz="4" w:space="0"/>
              <w:right w:val="single" w:color="auto" w:sz="4" w:space="0"/>
            </w:tcBorders>
            <w:noWrap w:val="0"/>
            <w:vAlign w:val="center"/>
          </w:tcPr>
          <w:p w14:paraId="752AE860">
            <w:pPr>
              <w:jc w:val="center"/>
              <w:rPr>
                <w:rFonts w:hint="eastAsia" w:ascii="宋体" w:hAnsi="宋体" w:cs="宋体"/>
                <w:color w:val="000000"/>
                <w:sz w:val="16"/>
                <w:szCs w:val="16"/>
              </w:rPr>
            </w:pPr>
          </w:p>
        </w:tc>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14:paraId="027C3D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质量指标</w:t>
            </w:r>
          </w:p>
        </w:tc>
        <w:tc>
          <w:tcPr>
            <w:tcW w:w="2431" w:type="dxa"/>
            <w:gridSpan w:val="3"/>
            <w:tcBorders>
              <w:top w:val="single" w:color="auto" w:sz="4" w:space="0"/>
              <w:left w:val="single" w:color="auto" w:sz="4" w:space="0"/>
              <w:bottom w:val="single" w:color="auto" w:sz="4" w:space="0"/>
              <w:right w:val="single" w:color="auto" w:sz="4" w:space="0"/>
            </w:tcBorders>
            <w:noWrap w:val="0"/>
            <w:vAlign w:val="center"/>
          </w:tcPr>
          <w:p w14:paraId="4E357095">
            <w:pPr>
              <w:widowControl/>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bidi="ar"/>
              </w:rPr>
              <w:t>指标1：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60C8F13">
            <w:pPr>
              <w:widowControl/>
              <w:jc w:val="center"/>
              <w:textAlignment w:val="center"/>
              <w:rPr>
                <w:rFonts w:hint="eastAsia" w:ascii="宋体" w:hAnsi="宋体" w:eastAsia="宋体" w:cs="宋体"/>
                <w:color w:val="000000"/>
                <w:sz w:val="16"/>
                <w:szCs w:val="16"/>
                <w:lang w:eastAsia="zh-CN"/>
              </w:rPr>
            </w:pPr>
          </w:p>
        </w:tc>
        <w:tc>
          <w:tcPr>
            <w:tcW w:w="782" w:type="dxa"/>
            <w:tcBorders>
              <w:top w:val="single" w:color="auto" w:sz="4" w:space="0"/>
              <w:left w:val="single" w:color="auto" w:sz="4" w:space="0"/>
              <w:bottom w:val="single" w:color="auto" w:sz="4" w:space="0"/>
              <w:right w:val="single" w:color="auto" w:sz="4" w:space="0"/>
            </w:tcBorders>
            <w:noWrap w:val="0"/>
            <w:vAlign w:val="center"/>
          </w:tcPr>
          <w:p w14:paraId="208D0DD6">
            <w:pPr>
              <w:widowControl/>
              <w:jc w:val="center"/>
              <w:textAlignment w:val="center"/>
              <w:rPr>
                <w:rFonts w:hint="default" w:ascii="宋体" w:hAnsi="宋体" w:eastAsia="宋体" w:cs="宋体"/>
                <w:color w:val="000000"/>
                <w:sz w:val="16"/>
                <w:szCs w:val="16"/>
                <w:lang w:val="en-US" w:eastAsia="zh-CN"/>
              </w:rPr>
            </w:pPr>
          </w:p>
        </w:tc>
        <w:tc>
          <w:tcPr>
            <w:tcW w:w="2904" w:type="dxa"/>
            <w:gridSpan w:val="2"/>
            <w:tcBorders>
              <w:top w:val="single" w:color="auto" w:sz="4" w:space="0"/>
              <w:left w:val="single" w:color="auto" w:sz="4" w:space="0"/>
              <w:bottom w:val="single" w:color="auto" w:sz="4" w:space="0"/>
              <w:right w:val="single" w:color="auto" w:sz="4" w:space="0"/>
            </w:tcBorders>
            <w:noWrap w:val="0"/>
            <w:vAlign w:val="center"/>
          </w:tcPr>
          <w:p w14:paraId="373DEC36">
            <w:pPr>
              <w:widowControl/>
              <w:jc w:val="center"/>
              <w:textAlignment w:val="center"/>
              <w:rPr>
                <w:rFonts w:hint="default" w:ascii="宋体" w:hAnsi="宋体" w:eastAsia="宋体" w:cs="宋体"/>
                <w:color w:val="000000"/>
                <w:sz w:val="16"/>
                <w:szCs w:val="16"/>
                <w:lang w:val="en-US" w:eastAsia="zh-CN"/>
              </w:rPr>
            </w:pPr>
          </w:p>
        </w:tc>
      </w:tr>
      <w:tr w14:paraId="1FB7B252">
        <w:tblPrEx>
          <w:tblCellMar>
            <w:top w:w="0" w:type="dxa"/>
            <w:left w:w="108" w:type="dxa"/>
            <w:bottom w:w="0" w:type="dxa"/>
            <w:right w:w="108" w:type="dxa"/>
          </w:tblCellMar>
        </w:tblPrEx>
        <w:trPr>
          <w:trHeight w:val="300"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14:paraId="2A32924C">
            <w:pPr>
              <w:jc w:val="center"/>
              <w:rPr>
                <w:rFonts w:hint="eastAsia" w:ascii="宋体" w:hAnsi="宋体" w:cs="宋体"/>
                <w:color w:val="000000"/>
                <w:sz w:val="16"/>
                <w:szCs w:val="16"/>
              </w:rPr>
            </w:pPr>
          </w:p>
        </w:tc>
        <w:tc>
          <w:tcPr>
            <w:tcW w:w="652" w:type="dxa"/>
            <w:vMerge w:val="continue"/>
            <w:tcBorders>
              <w:top w:val="single" w:color="auto" w:sz="4" w:space="0"/>
              <w:left w:val="nil"/>
              <w:bottom w:val="single" w:color="auto" w:sz="4" w:space="0"/>
              <w:right w:val="single" w:color="auto" w:sz="4" w:space="0"/>
            </w:tcBorders>
            <w:noWrap w:val="0"/>
            <w:vAlign w:val="center"/>
          </w:tcPr>
          <w:p w14:paraId="204A6F8B">
            <w:pPr>
              <w:jc w:val="center"/>
              <w:rPr>
                <w:rFonts w:hint="eastAsia" w:ascii="宋体" w:hAnsi="宋体" w:cs="宋体"/>
                <w:color w:val="000000"/>
                <w:sz w:val="16"/>
                <w:szCs w:val="16"/>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31BA3503">
            <w:pPr>
              <w:jc w:val="center"/>
              <w:rPr>
                <w:rFonts w:hint="eastAsia" w:ascii="宋体" w:hAnsi="宋体" w:cs="宋体"/>
                <w:color w:val="000000"/>
                <w:sz w:val="16"/>
                <w:szCs w:val="16"/>
              </w:rPr>
            </w:pPr>
          </w:p>
        </w:tc>
        <w:tc>
          <w:tcPr>
            <w:tcW w:w="2431" w:type="dxa"/>
            <w:gridSpan w:val="3"/>
            <w:tcBorders>
              <w:top w:val="single" w:color="auto" w:sz="4" w:space="0"/>
              <w:left w:val="single" w:color="auto" w:sz="4" w:space="0"/>
              <w:bottom w:val="single" w:color="auto" w:sz="4" w:space="0"/>
              <w:right w:val="single" w:color="auto" w:sz="4" w:space="0"/>
            </w:tcBorders>
            <w:noWrap w:val="0"/>
            <w:vAlign w:val="center"/>
          </w:tcPr>
          <w:p w14:paraId="33B04CAB">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94DB93B">
            <w:pPr>
              <w:jc w:val="center"/>
              <w:rPr>
                <w:rFonts w:hint="eastAsia" w:ascii="宋体" w:hAnsi="宋体" w:cs="宋体"/>
                <w:color w:val="000000"/>
                <w:sz w:val="16"/>
                <w:szCs w:val="16"/>
              </w:rPr>
            </w:pPr>
          </w:p>
        </w:tc>
        <w:tc>
          <w:tcPr>
            <w:tcW w:w="782" w:type="dxa"/>
            <w:tcBorders>
              <w:top w:val="single" w:color="auto" w:sz="4" w:space="0"/>
              <w:left w:val="single" w:color="auto" w:sz="4" w:space="0"/>
              <w:bottom w:val="single" w:color="auto" w:sz="4" w:space="0"/>
              <w:right w:val="single" w:color="auto" w:sz="4" w:space="0"/>
            </w:tcBorders>
            <w:noWrap w:val="0"/>
            <w:vAlign w:val="center"/>
          </w:tcPr>
          <w:p w14:paraId="5530C719">
            <w:pPr>
              <w:jc w:val="center"/>
              <w:rPr>
                <w:rFonts w:hint="eastAsia" w:ascii="宋体" w:hAnsi="宋体" w:cs="宋体"/>
                <w:color w:val="000000"/>
                <w:sz w:val="16"/>
                <w:szCs w:val="16"/>
              </w:rPr>
            </w:pPr>
          </w:p>
        </w:tc>
        <w:tc>
          <w:tcPr>
            <w:tcW w:w="2904" w:type="dxa"/>
            <w:gridSpan w:val="2"/>
            <w:tcBorders>
              <w:top w:val="single" w:color="auto" w:sz="4" w:space="0"/>
              <w:left w:val="single" w:color="auto" w:sz="4" w:space="0"/>
              <w:bottom w:val="single" w:color="auto" w:sz="4" w:space="0"/>
              <w:right w:val="single" w:color="auto" w:sz="4" w:space="0"/>
            </w:tcBorders>
            <w:noWrap w:val="0"/>
            <w:vAlign w:val="center"/>
          </w:tcPr>
          <w:p w14:paraId="7EA2D2BF">
            <w:pPr>
              <w:jc w:val="center"/>
              <w:rPr>
                <w:rFonts w:hint="eastAsia" w:ascii="宋体" w:hAnsi="宋体" w:cs="宋体"/>
                <w:color w:val="000000"/>
                <w:sz w:val="16"/>
                <w:szCs w:val="16"/>
              </w:rPr>
            </w:pPr>
          </w:p>
        </w:tc>
      </w:tr>
      <w:tr w14:paraId="34077C2F">
        <w:tblPrEx>
          <w:tblCellMar>
            <w:top w:w="0" w:type="dxa"/>
            <w:left w:w="108" w:type="dxa"/>
            <w:bottom w:w="0" w:type="dxa"/>
            <w:right w:w="108" w:type="dxa"/>
          </w:tblCellMar>
        </w:tblPrEx>
        <w:trPr>
          <w:trHeight w:val="300"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14:paraId="200DB82C">
            <w:pPr>
              <w:jc w:val="center"/>
              <w:rPr>
                <w:rFonts w:hint="eastAsia" w:ascii="宋体" w:hAnsi="宋体" w:cs="宋体"/>
                <w:color w:val="000000"/>
                <w:sz w:val="16"/>
                <w:szCs w:val="16"/>
              </w:rPr>
            </w:pPr>
          </w:p>
        </w:tc>
        <w:tc>
          <w:tcPr>
            <w:tcW w:w="652" w:type="dxa"/>
            <w:vMerge w:val="continue"/>
            <w:tcBorders>
              <w:top w:val="single" w:color="auto" w:sz="4" w:space="0"/>
              <w:left w:val="nil"/>
              <w:bottom w:val="single" w:color="auto" w:sz="4" w:space="0"/>
              <w:right w:val="single" w:color="auto" w:sz="4" w:space="0"/>
            </w:tcBorders>
            <w:noWrap w:val="0"/>
            <w:vAlign w:val="center"/>
          </w:tcPr>
          <w:p w14:paraId="3A835CF9">
            <w:pPr>
              <w:jc w:val="center"/>
              <w:rPr>
                <w:rFonts w:hint="eastAsia" w:ascii="宋体" w:hAnsi="宋体" w:cs="宋体"/>
                <w:color w:val="000000"/>
                <w:sz w:val="16"/>
                <w:szCs w:val="16"/>
              </w:rPr>
            </w:pPr>
          </w:p>
        </w:tc>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14:paraId="5CEE1C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时效指标</w:t>
            </w:r>
          </w:p>
        </w:tc>
        <w:tc>
          <w:tcPr>
            <w:tcW w:w="2431" w:type="dxa"/>
            <w:gridSpan w:val="3"/>
            <w:tcBorders>
              <w:top w:val="single" w:color="auto" w:sz="4" w:space="0"/>
              <w:left w:val="single" w:color="auto" w:sz="4" w:space="0"/>
              <w:bottom w:val="single" w:color="auto" w:sz="4" w:space="0"/>
              <w:right w:val="single" w:color="auto" w:sz="4" w:space="0"/>
            </w:tcBorders>
            <w:noWrap w:val="0"/>
            <w:vAlign w:val="center"/>
          </w:tcPr>
          <w:p w14:paraId="4A79AC43">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1CAFE9F">
            <w:pPr>
              <w:jc w:val="center"/>
              <w:rPr>
                <w:rFonts w:hint="eastAsia" w:ascii="宋体" w:hAnsi="宋体" w:cs="宋体"/>
                <w:color w:val="000000"/>
                <w:sz w:val="16"/>
                <w:szCs w:val="16"/>
              </w:rPr>
            </w:pPr>
          </w:p>
        </w:tc>
        <w:tc>
          <w:tcPr>
            <w:tcW w:w="782" w:type="dxa"/>
            <w:tcBorders>
              <w:top w:val="single" w:color="auto" w:sz="4" w:space="0"/>
              <w:left w:val="single" w:color="auto" w:sz="4" w:space="0"/>
              <w:bottom w:val="single" w:color="auto" w:sz="4" w:space="0"/>
              <w:right w:val="single" w:color="auto" w:sz="4" w:space="0"/>
            </w:tcBorders>
            <w:noWrap w:val="0"/>
            <w:vAlign w:val="center"/>
          </w:tcPr>
          <w:p w14:paraId="6A77D00C">
            <w:pPr>
              <w:jc w:val="center"/>
              <w:rPr>
                <w:rFonts w:hint="eastAsia" w:ascii="宋体" w:hAnsi="宋体" w:cs="宋体"/>
                <w:color w:val="000000"/>
                <w:sz w:val="16"/>
                <w:szCs w:val="16"/>
              </w:rPr>
            </w:pPr>
          </w:p>
        </w:tc>
        <w:tc>
          <w:tcPr>
            <w:tcW w:w="2904" w:type="dxa"/>
            <w:gridSpan w:val="2"/>
            <w:tcBorders>
              <w:top w:val="single" w:color="auto" w:sz="4" w:space="0"/>
              <w:left w:val="single" w:color="auto" w:sz="4" w:space="0"/>
              <w:bottom w:val="single" w:color="auto" w:sz="4" w:space="0"/>
              <w:right w:val="single" w:color="auto" w:sz="4" w:space="0"/>
            </w:tcBorders>
            <w:noWrap w:val="0"/>
            <w:vAlign w:val="center"/>
          </w:tcPr>
          <w:p w14:paraId="47FD89FB">
            <w:pPr>
              <w:jc w:val="center"/>
              <w:rPr>
                <w:rFonts w:hint="eastAsia" w:ascii="宋体" w:hAnsi="宋体" w:cs="宋体"/>
                <w:color w:val="000000"/>
                <w:sz w:val="16"/>
                <w:szCs w:val="16"/>
              </w:rPr>
            </w:pPr>
          </w:p>
        </w:tc>
      </w:tr>
      <w:tr w14:paraId="0AE583E8">
        <w:tblPrEx>
          <w:tblCellMar>
            <w:top w:w="0" w:type="dxa"/>
            <w:left w:w="108" w:type="dxa"/>
            <w:bottom w:w="0" w:type="dxa"/>
            <w:right w:w="108" w:type="dxa"/>
          </w:tblCellMar>
        </w:tblPrEx>
        <w:trPr>
          <w:trHeight w:val="300"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14:paraId="0C453A3C">
            <w:pPr>
              <w:jc w:val="center"/>
              <w:rPr>
                <w:rFonts w:hint="eastAsia" w:ascii="宋体" w:hAnsi="宋体" w:cs="宋体"/>
                <w:color w:val="000000"/>
                <w:sz w:val="16"/>
                <w:szCs w:val="16"/>
              </w:rPr>
            </w:pPr>
          </w:p>
        </w:tc>
        <w:tc>
          <w:tcPr>
            <w:tcW w:w="652" w:type="dxa"/>
            <w:vMerge w:val="continue"/>
            <w:tcBorders>
              <w:top w:val="single" w:color="auto" w:sz="4" w:space="0"/>
              <w:left w:val="nil"/>
              <w:bottom w:val="single" w:color="auto" w:sz="4" w:space="0"/>
              <w:right w:val="single" w:color="auto" w:sz="4" w:space="0"/>
            </w:tcBorders>
            <w:noWrap w:val="0"/>
            <w:vAlign w:val="center"/>
          </w:tcPr>
          <w:p w14:paraId="0F0E4CE7">
            <w:pPr>
              <w:jc w:val="center"/>
              <w:rPr>
                <w:rFonts w:hint="eastAsia" w:ascii="宋体" w:hAnsi="宋体" w:cs="宋体"/>
                <w:color w:val="000000"/>
                <w:sz w:val="16"/>
                <w:szCs w:val="16"/>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3172D64F">
            <w:pPr>
              <w:jc w:val="center"/>
              <w:rPr>
                <w:rFonts w:hint="eastAsia" w:ascii="宋体" w:hAnsi="宋体" w:cs="宋体"/>
                <w:color w:val="000000"/>
                <w:sz w:val="16"/>
                <w:szCs w:val="16"/>
              </w:rPr>
            </w:pPr>
          </w:p>
        </w:tc>
        <w:tc>
          <w:tcPr>
            <w:tcW w:w="2431" w:type="dxa"/>
            <w:gridSpan w:val="3"/>
            <w:tcBorders>
              <w:top w:val="single" w:color="auto" w:sz="4" w:space="0"/>
              <w:left w:val="single" w:color="auto" w:sz="4" w:space="0"/>
              <w:bottom w:val="single" w:color="auto" w:sz="4" w:space="0"/>
              <w:right w:val="single" w:color="auto" w:sz="4" w:space="0"/>
            </w:tcBorders>
            <w:noWrap w:val="0"/>
            <w:vAlign w:val="center"/>
          </w:tcPr>
          <w:p w14:paraId="21B833BE">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5E3DD0E">
            <w:pPr>
              <w:jc w:val="center"/>
              <w:rPr>
                <w:rFonts w:hint="eastAsia" w:ascii="宋体" w:hAnsi="宋体" w:cs="宋体"/>
                <w:color w:val="000000"/>
                <w:sz w:val="16"/>
                <w:szCs w:val="16"/>
              </w:rPr>
            </w:pPr>
          </w:p>
        </w:tc>
        <w:tc>
          <w:tcPr>
            <w:tcW w:w="782" w:type="dxa"/>
            <w:tcBorders>
              <w:top w:val="single" w:color="auto" w:sz="4" w:space="0"/>
              <w:left w:val="single" w:color="auto" w:sz="4" w:space="0"/>
              <w:bottom w:val="single" w:color="auto" w:sz="4" w:space="0"/>
              <w:right w:val="single" w:color="auto" w:sz="4" w:space="0"/>
            </w:tcBorders>
            <w:noWrap w:val="0"/>
            <w:vAlign w:val="center"/>
          </w:tcPr>
          <w:p w14:paraId="2E9D50E4">
            <w:pPr>
              <w:jc w:val="center"/>
              <w:rPr>
                <w:rFonts w:hint="eastAsia" w:ascii="宋体" w:hAnsi="宋体" w:cs="宋体"/>
                <w:color w:val="000000"/>
                <w:sz w:val="16"/>
                <w:szCs w:val="16"/>
              </w:rPr>
            </w:pPr>
          </w:p>
        </w:tc>
        <w:tc>
          <w:tcPr>
            <w:tcW w:w="2904" w:type="dxa"/>
            <w:gridSpan w:val="2"/>
            <w:tcBorders>
              <w:top w:val="single" w:color="auto" w:sz="4" w:space="0"/>
              <w:left w:val="single" w:color="auto" w:sz="4" w:space="0"/>
              <w:bottom w:val="single" w:color="auto" w:sz="4" w:space="0"/>
              <w:right w:val="single" w:color="auto" w:sz="4" w:space="0"/>
            </w:tcBorders>
            <w:noWrap w:val="0"/>
            <w:vAlign w:val="center"/>
          </w:tcPr>
          <w:p w14:paraId="45441023">
            <w:pPr>
              <w:jc w:val="center"/>
              <w:rPr>
                <w:rFonts w:hint="eastAsia" w:ascii="宋体" w:hAnsi="宋体" w:cs="宋体"/>
                <w:color w:val="000000"/>
                <w:sz w:val="16"/>
                <w:szCs w:val="16"/>
              </w:rPr>
            </w:pPr>
          </w:p>
        </w:tc>
      </w:tr>
      <w:tr w14:paraId="432CC60F">
        <w:tblPrEx>
          <w:tblCellMar>
            <w:top w:w="0" w:type="dxa"/>
            <w:left w:w="108" w:type="dxa"/>
            <w:bottom w:w="0" w:type="dxa"/>
            <w:right w:w="108" w:type="dxa"/>
          </w:tblCellMar>
        </w:tblPrEx>
        <w:trPr>
          <w:trHeight w:val="300"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14:paraId="1F081507">
            <w:pPr>
              <w:jc w:val="center"/>
              <w:rPr>
                <w:rFonts w:hint="eastAsia" w:ascii="宋体" w:hAnsi="宋体" w:cs="宋体"/>
                <w:color w:val="000000"/>
                <w:sz w:val="16"/>
                <w:szCs w:val="16"/>
              </w:rPr>
            </w:pPr>
          </w:p>
        </w:tc>
        <w:tc>
          <w:tcPr>
            <w:tcW w:w="652" w:type="dxa"/>
            <w:vMerge w:val="continue"/>
            <w:tcBorders>
              <w:top w:val="single" w:color="auto" w:sz="4" w:space="0"/>
              <w:left w:val="nil"/>
              <w:bottom w:val="single" w:color="auto" w:sz="4" w:space="0"/>
              <w:right w:val="single" w:color="auto" w:sz="4" w:space="0"/>
            </w:tcBorders>
            <w:noWrap w:val="0"/>
            <w:vAlign w:val="center"/>
          </w:tcPr>
          <w:p w14:paraId="141E52D2">
            <w:pPr>
              <w:jc w:val="center"/>
              <w:rPr>
                <w:rFonts w:hint="eastAsia" w:ascii="宋体" w:hAnsi="宋体" w:cs="宋体"/>
                <w:color w:val="000000"/>
                <w:sz w:val="16"/>
                <w:szCs w:val="16"/>
              </w:rPr>
            </w:pPr>
          </w:p>
        </w:tc>
        <w:tc>
          <w:tcPr>
            <w:tcW w:w="968" w:type="dxa"/>
            <w:vMerge w:val="continue"/>
            <w:tcBorders>
              <w:top w:val="single" w:color="auto" w:sz="4" w:space="0"/>
              <w:left w:val="single" w:color="auto" w:sz="4" w:space="0"/>
              <w:bottom w:val="single" w:color="auto" w:sz="4" w:space="0"/>
              <w:right w:val="single" w:color="000000" w:sz="4" w:space="0"/>
            </w:tcBorders>
            <w:noWrap w:val="0"/>
            <w:vAlign w:val="center"/>
          </w:tcPr>
          <w:p w14:paraId="3CF199E2">
            <w:pPr>
              <w:jc w:val="center"/>
              <w:rPr>
                <w:rFonts w:hint="eastAsia" w:ascii="宋体" w:hAnsi="宋体" w:cs="宋体"/>
                <w:color w:val="000000"/>
                <w:sz w:val="16"/>
                <w:szCs w:val="16"/>
              </w:rPr>
            </w:pPr>
          </w:p>
        </w:tc>
        <w:tc>
          <w:tcPr>
            <w:tcW w:w="2431" w:type="dxa"/>
            <w:gridSpan w:val="3"/>
            <w:tcBorders>
              <w:top w:val="single" w:color="auto" w:sz="4" w:space="0"/>
              <w:left w:val="nil"/>
              <w:bottom w:val="single" w:color="000000" w:sz="4" w:space="0"/>
              <w:right w:val="single" w:color="000000" w:sz="4" w:space="0"/>
            </w:tcBorders>
            <w:noWrap w:val="0"/>
            <w:vAlign w:val="center"/>
          </w:tcPr>
          <w:p w14:paraId="575400A9">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14" w:type="dxa"/>
            <w:tcBorders>
              <w:top w:val="single" w:color="auto" w:sz="4" w:space="0"/>
              <w:left w:val="nil"/>
              <w:bottom w:val="single" w:color="000000" w:sz="4" w:space="0"/>
              <w:right w:val="single" w:color="000000" w:sz="4" w:space="0"/>
            </w:tcBorders>
            <w:noWrap w:val="0"/>
            <w:vAlign w:val="center"/>
          </w:tcPr>
          <w:p w14:paraId="37A1B503">
            <w:pPr>
              <w:jc w:val="center"/>
              <w:rPr>
                <w:rFonts w:hint="eastAsia" w:ascii="宋体" w:hAnsi="宋体" w:cs="宋体"/>
                <w:color w:val="000000"/>
                <w:sz w:val="16"/>
                <w:szCs w:val="16"/>
              </w:rPr>
            </w:pPr>
          </w:p>
        </w:tc>
        <w:tc>
          <w:tcPr>
            <w:tcW w:w="782" w:type="dxa"/>
            <w:tcBorders>
              <w:top w:val="single" w:color="auto" w:sz="4" w:space="0"/>
              <w:left w:val="nil"/>
              <w:bottom w:val="single" w:color="000000" w:sz="4" w:space="0"/>
              <w:right w:val="single" w:color="000000" w:sz="4" w:space="0"/>
            </w:tcBorders>
            <w:noWrap w:val="0"/>
            <w:vAlign w:val="center"/>
          </w:tcPr>
          <w:p w14:paraId="04E20FAD">
            <w:pPr>
              <w:jc w:val="center"/>
              <w:rPr>
                <w:rFonts w:hint="eastAsia" w:ascii="宋体" w:hAnsi="宋体" w:cs="宋体"/>
                <w:color w:val="000000"/>
                <w:sz w:val="16"/>
                <w:szCs w:val="16"/>
              </w:rPr>
            </w:pPr>
          </w:p>
        </w:tc>
        <w:tc>
          <w:tcPr>
            <w:tcW w:w="2904" w:type="dxa"/>
            <w:gridSpan w:val="2"/>
            <w:tcBorders>
              <w:top w:val="single" w:color="auto" w:sz="4" w:space="0"/>
              <w:left w:val="nil"/>
              <w:bottom w:val="single" w:color="000000" w:sz="4" w:space="0"/>
              <w:right w:val="single" w:color="000000" w:sz="4" w:space="0"/>
            </w:tcBorders>
            <w:noWrap w:val="0"/>
            <w:vAlign w:val="center"/>
          </w:tcPr>
          <w:p w14:paraId="4E906813">
            <w:pPr>
              <w:jc w:val="center"/>
              <w:rPr>
                <w:rFonts w:hint="eastAsia" w:ascii="宋体" w:hAnsi="宋体" w:cs="宋体"/>
                <w:color w:val="000000"/>
                <w:sz w:val="16"/>
                <w:szCs w:val="16"/>
              </w:rPr>
            </w:pPr>
          </w:p>
        </w:tc>
      </w:tr>
      <w:tr w14:paraId="1C87D474">
        <w:tblPrEx>
          <w:tblCellMar>
            <w:top w:w="0" w:type="dxa"/>
            <w:left w:w="108" w:type="dxa"/>
            <w:bottom w:w="0" w:type="dxa"/>
            <w:right w:w="108" w:type="dxa"/>
          </w:tblCellMar>
        </w:tblPrEx>
        <w:trPr>
          <w:trHeight w:val="300" w:hRule="atLeast"/>
          <w:jc w:val="center"/>
        </w:trPr>
        <w:tc>
          <w:tcPr>
            <w:tcW w:w="520" w:type="dxa"/>
            <w:vMerge w:val="continue"/>
            <w:tcBorders>
              <w:top w:val="single" w:color="auto" w:sz="4" w:space="0"/>
              <w:left w:val="single" w:color="auto" w:sz="4" w:space="0"/>
              <w:bottom w:val="single" w:color="auto" w:sz="4" w:space="0"/>
              <w:right w:val="single" w:color="000000" w:sz="4" w:space="0"/>
            </w:tcBorders>
            <w:noWrap w:val="0"/>
            <w:vAlign w:val="center"/>
          </w:tcPr>
          <w:p w14:paraId="5EA9A6FA">
            <w:pPr>
              <w:jc w:val="center"/>
              <w:rPr>
                <w:rFonts w:hint="eastAsia" w:ascii="宋体" w:hAnsi="宋体" w:cs="宋体"/>
                <w:color w:val="000000"/>
                <w:sz w:val="16"/>
                <w:szCs w:val="16"/>
              </w:rPr>
            </w:pPr>
          </w:p>
        </w:tc>
        <w:tc>
          <w:tcPr>
            <w:tcW w:w="652" w:type="dxa"/>
            <w:vMerge w:val="continue"/>
            <w:tcBorders>
              <w:top w:val="single" w:color="auto" w:sz="4" w:space="0"/>
              <w:left w:val="nil"/>
              <w:bottom w:val="single" w:color="auto" w:sz="4" w:space="0"/>
              <w:right w:val="single" w:color="000000" w:sz="4" w:space="0"/>
            </w:tcBorders>
            <w:noWrap w:val="0"/>
            <w:vAlign w:val="center"/>
          </w:tcPr>
          <w:p w14:paraId="62B87942">
            <w:pPr>
              <w:jc w:val="center"/>
              <w:rPr>
                <w:rFonts w:hint="eastAsia" w:ascii="宋体" w:hAnsi="宋体" w:cs="宋体"/>
                <w:color w:val="000000"/>
                <w:sz w:val="16"/>
                <w:szCs w:val="16"/>
              </w:rPr>
            </w:pPr>
          </w:p>
        </w:tc>
        <w:tc>
          <w:tcPr>
            <w:tcW w:w="968" w:type="dxa"/>
            <w:vMerge w:val="continue"/>
            <w:tcBorders>
              <w:top w:val="single" w:color="auto" w:sz="4" w:space="0"/>
              <w:left w:val="nil"/>
              <w:bottom w:val="single" w:color="auto" w:sz="4" w:space="0"/>
              <w:right w:val="single" w:color="000000" w:sz="4" w:space="0"/>
            </w:tcBorders>
            <w:noWrap w:val="0"/>
            <w:vAlign w:val="center"/>
          </w:tcPr>
          <w:p w14:paraId="123FA256">
            <w:pPr>
              <w:jc w:val="center"/>
              <w:rPr>
                <w:rFonts w:hint="eastAsia" w:ascii="宋体" w:hAnsi="宋体" w:cs="宋体"/>
                <w:color w:val="000000"/>
                <w:sz w:val="16"/>
                <w:szCs w:val="16"/>
              </w:rPr>
            </w:pPr>
          </w:p>
        </w:tc>
        <w:tc>
          <w:tcPr>
            <w:tcW w:w="2431" w:type="dxa"/>
            <w:gridSpan w:val="3"/>
            <w:tcBorders>
              <w:top w:val="nil"/>
              <w:left w:val="nil"/>
              <w:bottom w:val="nil"/>
              <w:right w:val="single" w:color="000000" w:sz="4" w:space="0"/>
            </w:tcBorders>
            <w:noWrap w:val="0"/>
            <w:vAlign w:val="center"/>
          </w:tcPr>
          <w:p w14:paraId="26896964">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14" w:type="dxa"/>
            <w:tcBorders>
              <w:top w:val="nil"/>
              <w:left w:val="nil"/>
              <w:bottom w:val="nil"/>
              <w:right w:val="single" w:color="000000" w:sz="4" w:space="0"/>
            </w:tcBorders>
            <w:noWrap w:val="0"/>
            <w:vAlign w:val="center"/>
          </w:tcPr>
          <w:p w14:paraId="5362B924">
            <w:pPr>
              <w:jc w:val="center"/>
              <w:rPr>
                <w:rFonts w:hint="eastAsia" w:ascii="宋体" w:hAnsi="宋体" w:cs="宋体"/>
                <w:color w:val="000000"/>
                <w:sz w:val="16"/>
                <w:szCs w:val="16"/>
              </w:rPr>
            </w:pPr>
          </w:p>
        </w:tc>
        <w:tc>
          <w:tcPr>
            <w:tcW w:w="782" w:type="dxa"/>
            <w:tcBorders>
              <w:top w:val="nil"/>
              <w:left w:val="nil"/>
              <w:bottom w:val="nil"/>
              <w:right w:val="single" w:color="000000" w:sz="4" w:space="0"/>
            </w:tcBorders>
            <w:noWrap w:val="0"/>
            <w:vAlign w:val="center"/>
          </w:tcPr>
          <w:p w14:paraId="02189990">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47D48BFF">
            <w:pPr>
              <w:jc w:val="center"/>
              <w:rPr>
                <w:rFonts w:hint="eastAsia" w:ascii="宋体" w:hAnsi="宋体" w:cs="宋体"/>
                <w:color w:val="000000"/>
                <w:sz w:val="16"/>
                <w:szCs w:val="16"/>
              </w:rPr>
            </w:pPr>
          </w:p>
        </w:tc>
      </w:tr>
      <w:tr w14:paraId="7B7C13A0">
        <w:tblPrEx>
          <w:tblCellMar>
            <w:top w:w="0" w:type="dxa"/>
            <w:left w:w="108" w:type="dxa"/>
            <w:bottom w:w="0" w:type="dxa"/>
            <w:right w:w="108" w:type="dxa"/>
          </w:tblCellMar>
        </w:tblPrEx>
        <w:trPr>
          <w:trHeight w:val="300" w:hRule="atLeast"/>
          <w:jc w:val="center"/>
        </w:trPr>
        <w:tc>
          <w:tcPr>
            <w:tcW w:w="520" w:type="dxa"/>
            <w:vMerge w:val="continue"/>
            <w:tcBorders>
              <w:top w:val="single" w:color="auto" w:sz="4" w:space="0"/>
              <w:left w:val="single" w:color="auto" w:sz="4" w:space="0"/>
              <w:bottom w:val="single" w:color="000000" w:sz="4" w:space="0"/>
              <w:right w:val="single" w:color="000000" w:sz="4" w:space="0"/>
            </w:tcBorders>
            <w:noWrap w:val="0"/>
            <w:vAlign w:val="center"/>
          </w:tcPr>
          <w:p w14:paraId="52B82D2B">
            <w:pPr>
              <w:jc w:val="center"/>
              <w:rPr>
                <w:rFonts w:hint="eastAsia" w:ascii="宋体" w:hAnsi="宋体" w:cs="宋体"/>
                <w:color w:val="000000"/>
                <w:sz w:val="16"/>
                <w:szCs w:val="16"/>
              </w:rPr>
            </w:pPr>
          </w:p>
        </w:tc>
        <w:tc>
          <w:tcPr>
            <w:tcW w:w="652" w:type="dxa"/>
            <w:vMerge w:val="restart"/>
            <w:tcBorders>
              <w:top w:val="single" w:color="auto" w:sz="4" w:space="0"/>
              <w:left w:val="nil"/>
              <w:bottom w:val="single" w:color="000000" w:sz="4" w:space="0"/>
              <w:right w:val="single" w:color="000000" w:sz="4" w:space="0"/>
            </w:tcBorders>
            <w:noWrap w:val="0"/>
            <w:vAlign w:val="center"/>
          </w:tcPr>
          <w:p w14:paraId="6DB9CA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效益指标</w:t>
            </w:r>
          </w:p>
        </w:tc>
        <w:tc>
          <w:tcPr>
            <w:tcW w:w="968" w:type="dxa"/>
            <w:tcBorders>
              <w:top w:val="single" w:color="auto" w:sz="4" w:space="0"/>
              <w:left w:val="single" w:color="000000" w:sz="4" w:space="0"/>
              <w:bottom w:val="single" w:color="000000" w:sz="4" w:space="0"/>
              <w:right w:val="single" w:color="000000" w:sz="4" w:space="0"/>
            </w:tcBorders>
            <w:noWrap w:val="0"/>
            <w:vAlign w:val="center"/>
          </w:tcPr>
          <w:p w14:paraId="21433C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经济效益</w:t>
            </w: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538E2ADB">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A74011B">
            <w:pPr>
              <w:widowControl/>
              <w:jc w:val="center"/>
              <w:textAlignment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F8FB856">
            <w:pPr>
              <w:widowControl/>
              <w:jc w:val="center"/>
              <w:textAlignment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44FFD483">
            <w:pPr>
              <w:widowControl/>
              <w:jc w:val="center"/>
              <w:textAlignment w:val="center"/>
              <w:rPr>
                <w:rFonts w:hint="eastAsia" w:ascii="宋体" w:hAnsi="宋体" w:cs="宋体"/>
                <w:color w:val="000000"/>
                <w:sz w:val="16"/>
                <w:szCs w:val="16"/>
              </w:rPr>
            </w:pPr>
          </w:p>
        </w:tc>
      </w:tr>
      <w:tr w14:paraId="7B14CB1B">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1EE3C941">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3D834D37">
            <w:pPr>
              <w:jc w:val="center"/>
              <w:rPr>
                <w:rFonts w:hint="eastAsia" w:ascii="宋体" w:hAnsi="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1D3B8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w:t>
            </w: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4F58B8C8">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2CEED21">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2777EADB">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2AE9D5E4">
            <w:pPr>
              <w:jc w:val="center"/>
              <w:rPr>
                <w:rFonts w:hint="eastAsia" w:ascii="宋体" w:hAnsi="宋体" w:cs="宋体"/>
                <w:color w:val="000000"/>
                <w:sz w:val="16"/>
                <w:szCs w:val="16"/>
              </w:rPr>
            </w:pPr>
          </w:p>
        </w:tc>
      </w:tr>
      <w:tr w14:paraId="2BDB0EE8">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68A92474">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21AB47EC">
            <w:pPr>
              <w:jc w:val="center"/>
              <w:rPr>
                <w:rFonts w:hint="eastAsia" w:ascii="宋体" w:hAnsi="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3C32FD6C">
            <w:pPr>
              <w:rPr>
                <w:rFonts w:hint="eastAsia" w:ascii="宋体" w:hAnsi="宋体" w:cs="宋体"/>
                <w:color w:val="000000"/>
                <w:sz w:val="16"/>
                <w:szCs w:val="16"/>
              </w:rPr>
            </w:pP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4A5E26D4">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CE89A23">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11E18E0C">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74058ACB">
            <w:pPr>
              <w:jc w:val="center"/>
              <w:rPr>
                <w:rFonts w:hint="eastAsia" w:ascii="宋体" w:hAnsi="宋体" w:cs="宋体"/>
                <w:color w:val="000000"/>
                <w:sz w:val="16"/>
                <w:szCs w:val="16"/>
              </w:rPr>
            </w:pPr>
          </w:p>
        </w:tc>
      </w:tr>
      <w:tr w14:paraId="0004D6F2">
        <w:tblPrEx>
          <w:tblCellMar>
            <w:top w:w="0" w:type="dxa"/>
            <w:left w:w="108" w:type="dxa"/>
            <w:bottom w:w="0" w:type="dxa"/>
            <w:right w:w="108" w:type="dxa"/>
          </w:tblCellMar>
        </w:tblPrEx>
        <w:trPr>
          <w:trHeight w:val="52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06FE2547">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2EDF765E">
            <w:pPr>
              <w:jc w:val="center"/>
              <w:rPr>
                <w:rFonts w:hint="eastAsia" w:ascii="宋体" w:hAnsi="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137AE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社会效益</w:t>
            </w: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2F7A0EF0">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F53ABE3">
            <w:pPr>
              <w:widowControl/>
              <w:jc w:val="center"/>
              <w:textAlignment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37B2E321">
            <w:pPr>
              <w:widowControl/>
              <w:jc w:val="center"/>
              <w:textAlignment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7278D2E2">
            <w:pPr>
              <w:widowControl/>
              <w:jc w:val="center"/>
              <w:textAlignment w:val="center"/>
              <w:rPr>
                <w:rFonts w:hint="eastAsia" w:ascii="宋体" w:hAnsi="宋体" w:cs="宋体"/>
                <w:color w:val="000000"/>
                <w:sz w:val="16"/>
                <w:szCs w:val="16"/>
              </w:rPr>
            </w:pPr>
          </w:p>
        </w:tc>
      </w:tr>
      <w:tr w14:paraId="66796AC3">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6905873E">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001F1EE6">
            <w:pPr>
              <w:jc w:val="center"/>
              <w:rPr>
                <w:rFonts w:hint="eastAsia" w:ascii="宋体" w:hAnsi="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A5BC0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w:t>
            </w: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00DB32DF">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422A874">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B2C774C">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3A87717A">
            <w:pPr>
              <w:jc w:val="center"/>
              <w:rPr>
                <w:rFonts w:hint="eastAsia" w:ascii="宋体" w:hAnsi="宋体" w:cs="宋体"/>
                <w:color w:val="000000"/>
                <w:sz w:val="16"/>
                <w:szCs w:val="16"/>
              </w:rPr>
            </w:pPr>
          </w:p>
        </w:tc>
      </w:tr>
      <w:tr w14:paraId="36F2A803">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129E5CA9">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1D259ABA">
            <w:pPr>
              <w:jc w:val="center"/>
              <w:rPr>
                <w:rFonts w:hint="eastAsia" w:ascii="宋体" w:hAnsi="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38E3024A">
            <w:pPr>
              <w:rPr>
                <w:rFonts w:hint="eastAsia" w:ascii="宋体" w:hAnsi="宋体" w:cs="宋体"/>
                <w:color w:val="000000"/>
                <w:sz w:val="16"/>
                <w:szCs w:val="16"/>
              </w:rPr>
            </w:pP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586D6E82">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6922518">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399A7739">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62C268AA">
            <w:pPr>
              <w:jc w:val="center"/>
              <w:rPr>
                <w:rFonts w:hint="eastAsia" w:ascii="宋体" w:hAnsi="宋体" w:cs="宋体"/>
                <w:color w:val="000000"/>
                <w:sz w:val="16"/>
                <w:szCs w:val="16"/>
              </w:rPr>
            </w:pPr>
          </w:p>
        </w:tc>
      </w:tr>
      <w:tr w14:paraId="1AE5B876">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267CE838">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44B3356B">
            <w:pPr>
              <w:jc w:val="center"/>
              <w:rPr>
                <w:rFonts w:hint="eastAsia" w:ascii="宋体" w:hAnsi="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95735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生态效益</w:t>
            </w: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6A1D300E">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7AD8B95B">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622206FB">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115CC044">
            <w:pPr>
              <w:jc w:val="center"/>
              <w:rPr>
                <w:rFonts w:hint="eastAsia" w:ascii="宋体" w:hAnsi="宋体" w:cs="宋体"/>
                <w:color w:val="000000"/>
                <w:sz w:val="16"/>
                <w:szCs w:val="16"/>
              </w:rPr>
            </w:pPr>
          </w:p>
        </w:tc>
      </w:tr>
      <w:tr w14:paraId="6B4471D9">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2A8C09A3">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0D1A48FD">
            <w:pPr>
              <w:jc w:val="center"/>
              <w:rPr>
                <w:rFonts w:hint="eastAsia" w:ascii="宋体" w:hAnsi="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445FD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w:t>
            </w: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35CCD58B">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指标2：</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14:paraId="13C08DD8">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auto" w:sz="4" w:space="0"/>
              <w:right w:val="single" w:color="000000" w:sz="4" w:space="0"/>
            </w:tcBorders>
            <w:noWrap w:val="0"/>
            <w:vAlign w:val="center"/>
          </w:tcPr>
          <w:p w14:paraId="3DDBDCFF">
            <w:pPr>
              <w:jc w:val="center"/>
              <w:rPr>
                <w:rFonts w:hint="eastAsia" w:ascii="宋体" w:hAnsi="宋体" w:cs="宋体"/>
                <w:color w:val="000000"/>
                <w:sz w:val="16"/>
                <w:szCs w:val="16"/>
              </w:rPr>
            </w:pPr>
          </w:p>
        </w:tc>
        <w:tc>
          <w:tcPr>
            <w:tcW w:w="2904" w:type="dxa"/>
            <w:gridSpan w:val="2"/>
            <w:tcBorders>
              <w:top w:val="nil"/>
              <w:left w:val="nil"/>
              <w:bottom w:val="single" w:color="auto" w:sz="4" w:space="0"/>
              <w:right w:val="single" w:color="000000" w:sz="4" w:space="0"/>
            </w:tcBorders>
            <w:noWrap w:val="0"/>
            <w:vAlign w:val="center"/>
          </w:tcPr>
          <w:p w14:paraId="711348E4">
            <w:pPr>
              <w:jc w:val="center"/>
              <w:rPr>
                <w:rFonts w:hint="eastAsia" w:ascii="宋体" w:hAnsi="宋体" w:cs="宋体"/>
                <w:color w:val="000000"/>
                <w:sz w:val="16"/>
                <w:szCs w:val="16"/>
              </w:rPr>
            </w:pPr>
          </w:p>
        </w:tc>
      </w:tr>
      <w:tr w14:paraId="251F27AB">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7651363A">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5815256B">
            <w:pPr>
              <w:jc w:val="center"/>
              <w:rPr>
                <w:rFonts w:hint="eastAsia" w:ascii="宋体" w:hAnsi="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56BB535E">
            <w:pPr>
              <w:rPr>
                <w:rFonts w:hint="eastAsia" w:ascii="宋体" w:hAnsi="宋体" w:cs="宋体"/>
                <w:color w:val="000000"/>
                <w:sz w:val="16"/>
                <w:szCs w:val="16"/>
              </w:rPr>
            </w:pPr>
          </w:p>
        </w:tc>
        <w:tc>
          <w:tcPr>
            <w:tcW w:w="2431" w:type="dxa"/>
            <w:gridSpan w:val="3"/>
            <w:tcBorders>
              <w:top w:val="single" w:color="000000" w:sz="4" w:space="0"/>
              <w:left w:val="single" w:color="000000" w:sz="4" w:space="0"/>
              <w:bottom w:val="single" w:color="000000" w:sz="4" w:space="0"/>
              <w:right w:val="single" w:color="auto" w:sz="4" w:space="0"/>
            </w:tcBorders>
            <w:noWrap w:val="0"/>
            <w:vAlign w:val="center"/>
          </w:tcPr>
          <w:p w14:paraId="353FDEF2">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0A4AC15">
            <w:pPr>
              <w:jc w:val="center"/>
              <w:rPr>
                <w:rFonts w:hint="eastAsia" w:ascii="宋体" w:hAnsi="宋体" w:cs="宋体"/>
                <w:color w:val="000000"/>
                <w:sz w:val="16"/>
                <w:szCs w:val="16"/>
              </w:rPr>
            </w:pPr>
          </w:p>
        </w:tc>
        <w:tc>
          <w:tcPr>
            <w:tcW w:w="782" w:type="dxa"/>
            <w:tcBorders>
              <w:top w:val="single" w:color="auto" w:sz="4" w:space="0"/>
              <w:left w:val="single" w:color="auto" w:sz="4" w:space="0"/>
              <w:bottom w:val="single" w:color="auto" w:sz="4" w:space="0"/>
              <w:right w:val="single" w:color="auto" w:sz="4" w:space="0"/>
            </w:tcBorders>
            <w:noWrap w:val="0"/>
            <w:vAlign w:val="center"/>
          </w:tcPr>
          <w:p w14:paraId="6E649984">
            <w:pPr>
              <w:jc w:val="center"/>
              <w:rPr>
                <w:rFonts w:hint="eastAsia" w:ascii="宋体" w:hAnsi="宋体" w:cs="宋体"/>
                <w:color w:val="000000"/>
                <w:sz w:val="16"/>
                <w:szCs w:val="16"/>
              </w:rPr>
            </w:pPr>
          </w:p>
        </w:tc>
        <w:tc>
          <w:tcPr>
            <w:tcW w:w="2904" w:type="dxa"/>
            <w:gridSpan w:val="2"/>
            <w:tcBorders>
              <w:top w:val="single" w:color="auto" w:sz="4" w:space="0"/>
              <w:left w:val="single" w:color="auto" w:sz="4" w:space="0"/>
              <w:bottom w:val="single" w:color="auto" w:sz="4" w:space="0"/>
              <w:right w:val="single" w:color="auto" w:sz="4" w:space="0"/>
            </w:tcBorders>
            <w:noWrap w:val="0"/>
            <w:vAlign w:val="center"/>
          </w:tcPr>
          <w:p w14:paraId="539E9E80">
            <w:pPr>
              <w:jc w:val="center"/>
              <w:rPr>
                <w:rFonts w:hint="eastAsia" w:ascii="宋体" w:hAnsi="宋体" w:cs="宋体"/>
                <w:color w:val="000000"/>
                <w:sz w:val="16"/>
                <w:szCs w:val="16"/>
              </w:rPr>
            </w:pPr>
          </w:p>
        </w:tc>
      </w:tr>
      <w:tr w14:paraId="7E7222F8">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1FA1FE1D">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137CF50F">
            <w:pPr>
              <w:jc w:val="center"/>
              <w:rPr>
                <w:rFonts w:hint="eastAsia" w:ascii="宋体" w:hAnsi="宋体" w:cs="宋体"/>
                <w:color w:val="000000"/>
                <w:sz w:val="16"/>
                <w:szCs w:val="16"/>
              </w:rPr>
            </w:pPr>
          </w:p>
        </w:tc>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7822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可持续影响指标</w:t>
            </w: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3C83E252">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指标1：</w:t>
            </w:r>
          </w:p>
        </w:tc>
        <w:tc>
          <w:tcPr>
            <w:tcW w:w="814" w:type="dxa"/>
            <w:tcBorders>
              <w:top w:val="single" w:color="auto" w:sz="4" w:space="0"/>
              <w:left w:val="single" w:color="000000" w:sz="4" w:space="0"/>
              <w:bottom w:val="single" w:color="000000" w:sz="4" w:space="0"/>
              <w:right w:val="single" w:color="000000" w:sz="4" w:space="0"/>
            </w:tcBorders>
            <w:noWrap w:val="0"/>
            <w:vAlign w:val="center"/>
          </w:tcPr>
          <w:p w14:paraId="40A49DE5">
            <w:pPr>
              <w:widowControl/>
              <w:jc w:val="center"/>
              <w:textAlignment w:val="center"/>
              <w:rPr>
                <w:rFonts w:hint="eastAsia" w:ascii="宋体" w:hAnsi="宋体" w:cs="宋体"/>
                <w:color w:val="000000"/>
                <w:sz w:val="16"/>
                <w:szCs w:val="16"/>
              </w:rPr>
            </w:pPr>
          </w:p>
        </w:tc>
        <w:tc>
          <w:tcPr>
            <w:tcW w:w="782" w:type="dxa"/>
            <w:tcBorders>
              <w:top w:val="single" w:color="auto" w:sz="4" w:space="0"/>
              <w:left w:val="single" w:color="000000" w:sz="4" w:space="0"/>
              <w:bottom w:val="single" w:color="000000" w:sz="4" w:space="0"/>
              <w:right w:val="single" w:color="000000" w:sz="4" w:space="0"/>
            </w:tcBorders>
            <w:noWrap w:val="0"/>
            <w:vAlign w:val="center"/>
          </w:tcPr>
          <w:p w14:paraId="79262917">
            <w:pPr>
              <w:widowControl/>
              <w:jc w:val="center"/>
              <w:textAlignment w:val="center"/>
              <w:rPr>
                <w:rFonts w:hint="default" w:ascii="宋体" w:hAnsi="宋体" w:eastAsia="宋体" w:cs="宋体"/>
                <w:color w:val="000000"/>
                <w:sz w:val="16"/>
                <w:szCs w:val="16"/>
                <w:lang w:val="en-US" w:eastAsia="zh-CN"/>
              </w:rPr>
            </w:pPr>
          </w:p>
        </w:tc>
        <w:tc>
          <w:tcPr>
            <w:tcW w:w="2904" w:type="dxa"/>
            <w:gridSpan w:val="2"/>
            <w:tcBorders>
              <w:top w:val="single" w:color="auto" w:sz="4" w:space="0"/>
              <w:left w:val="nil"/>
              <w:bottom w:val="single" w:color="000000" w:sz="4" w:space="0"/>
              <w:right w:val="single" w:color="000000" w:sz="4" w:space="0"/>
            </w:tcBorders>
            <w:noWrap w:val="0"/>
            <w:vAlign w:val="center"/>
          </w:tcPr>
          <w:p w14:paraId="6D6A2640">
            <w:pPr>
              <w:widowControl/>
              <w:jc w:val="center"/>
              <w:textAlignment w:val="center"/>
              <w:rPr>
                <w:rFonts w:hint="eastAsia" w:ascii="宋体" w:hAnsi="宋体" w:cs="宋体"/>
                <w:color w:val="000000"/>
                <w:sz w:val="16"/>
                <w:szCs w:val="16"/>
              </w:rPr>
            </w:pPr>
          </w:p>
        </w:tc>
      </w:tr>
      <w:tr w14:paraId="59D4A829">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079D0AB9">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75DC3D80">
            <w:pPr>
              <w:jc w:val="center"/>
              <w:rPr>
                <w:rFonts w:hint="eastAsia" w:ascii="宋体" w:hAnsi="宋体" w:cs="宋体"/>
                <w:color w:val="000000"/>
                <w:sz w:val="16"/>
                <w:szCs w:val="16"/>
              </w:rPr>
            </w:pPr>
          </w:p>
        </w:tc>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9D273">
            <w:pPr>
              <w:jc w:val="center"/>
              <w:rPr>
                <w:rFonts w:hint="eastAsia" w:ascii="宋体" w:hAnsi="宋体" w:cs="宋体"/>
                <w:color w:val="000000"/>
                <w:sz w:val="16"/>
                <w:szCs w:val="16"/>
              </w:rPr>
            </w:pP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6402D7C1">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667B8C2">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8781341">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66699AC0">
            <w:pPr>
              <w:jc w:val="center"/>
              <w:rPr>
                <w:rFonts w:hint="eastAsia" w:ascii="宋体" w:hAnsi="宋体" w:cs="宋体"/>
                <w:color w:val="000000"/>
                <w:sz w:val="16"/>
                <w:szCs w:val="16"/>
              </w:rPr>
            </w:pPr>
          </w:p>
        </w:tc>
      </w:tr>
      <w:tr w14:paraId="5099A8F2">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0CC7C8E2">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43A0E932">
            <w:pPr>
              <w:jc w:val="center"/>
              <w:rPr>
                <w:rFonts w:hint="eastAsia" w:ascii="宋体" w:hAnsi="宋体" w:cs="宋体"/>
                <w:color w:val="000000"/>
                <w:sz w:val="16"/>
                <w:szCs w:val="16"/>
              </w:rPr>
            </w:pPr>
          </w:p>
        </w:tc>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6E9A4">
            <w:pPr>
              <w:jc w:val="center"/>
              <w:rPr>
                <w:rFonts w:hint="eastAsia" w:ascii="宋体" w:hAnsi="宋体" w:cs="宋体"/>
                <w:color w:val="000000"/>
                <w:sz w:val="16"/>
                <w:szCs w:val="16"/>
              </w:rPr>
            </w:pP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089F7014">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21AB957">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18040712">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04CE1884">
            <w:pPr>
              <w:jc w:val="center"/>
              <w:rPr>
                <w:rFonts w:hint="eastAsia" w:ascii="宋体" w:hAnsi="宋体" w:cs="宋体"/>
                <w:color w:val="000000"/>
                <w:sz w:val="16"/>
                <w:szCs w:val="16"/>
              </w:rPr>
            </w:pPr>
          </w:p>
        </w:tc>
      </w:tr>
      <w:tr w14:paraId="6444320E">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135CE7E9">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78652221">
            <w:pPr>
              <w:jc w:val="center"/>
              <w:rPr>
                <w:rFonts w:hint="eastAsia" w:ascii="宋体" w:hAnsi="宋体" w:cs="宋体"/>
                <w:color w:val="000000"/>
                <w:sz w:val="16"/>
                <w:szCs w:val="16"/>
              </w:rPr>
            </w:pPr>
          </w:p>
        </w:tc>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9B5E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满意度指标</w:t>
            </w: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26249A46">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7AE5B37">
            <w:pPr>
              <w:widowControl/>
              <w:jc w:val="center"/>
              <w:textAlignment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FE8C9F0">
            <w:pPr>
              <w:widowControl/>
              <w:jc w:val="center"/>
              <w:textAlignment w:val="center"/>
              <w:rPr>
                <w:rFonts w:hint="default" w:ascii="宋体" w:hAnsi="宋体" w:eastAsia="宋体" w:cs="宋体"/>
                <w:color w:val="000000"/>
                <w:sz w:val="16"/>
                <w:szCs w:val="16"/>
                <w:lang w:val="en-US" w:eastAsia="zh-CN"/>
              </w:rPr>
            </w:pPr>
          </w:p>
        </w:tc>
        <w:tc>
          <w:tcPr>
            <w:tcW w:w="2904" w:type="dxa"/>
            <w:gridSpan w:val="2"/>
            <w:tcBorders>
              <w:top w:val="nil"/>
              <w:left w:val="nil"/>
              <w:bottom w:val="single" w:color="000000" w:sz="4" w:space="0"/>
              <w:right w:val="single" w:color="000000" w:sz="4" w:space="0"/>
            </w:tcBorders>
            <w:noWrap w:val="0"/>
            <w:vAlign w:val="center"/>
          </w:tcPr>
          <w:p w14:paraId="31A61CCF">
            <w:pPr>
              <w:widowControl/>
              <w:jc w:val="center"/>
              <w:textAlignment w:val="center"/>
              <w:rPr>
                <w:rFonts w:hint="eastAsia" w:ascii="宋体" w:hAnsi="宋体" w:cs="宋体"/>
                <w:color w:val="000000"/>
                <w:sz w:val="16"/>
                <w:szCs w:val="16"/>
              </w:rPr>
            </w:pPr>
          </w:p>
        </w:tc>
      </w:tr>
      <w:tr w14:paraId="31C6D776">
        <w:tblPrEx>
          <w:tblCellMar>
            <w:top w:w="0" w:type="dxa"/>
            <w:left w:w="108" w:type="dxa"/>
            <w:bottom w:w="0" w:type="dxa"/>
            <w:right w:w="108" w:type="dxa"/>
          </w:tblCellMar>
        </w:tblPrEx>
        <w:trPr>
          <w:trHeight w:val="30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5C9E21CD">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5A0ACCF1">
            <w:pPr>
              <w:jc w:val="center"/>
              <w:rPr>
                <w:rFonts w:hint="eastAsia" w:ascii="宋体" w:hAnsi="宋体" w:cs="宋体"/>
                <w:color w:val="000000"/>
                <w:sz w:val="16"/>
                <w:szCs w:val="16"/>
              </w:rPr>
            </w:pPr>
          </w:p>
        </w:tc>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355A9">
            <w:pPr>
              <w:jc w:val="center"/>
              <w:rPr>
                <w:rFonts w:hint="eastAsia" w:ascii="宋体" w:hAnsi="宋体" w:cs="宋体"/>
                <w:color w:val="000000"/>
                <w:sz w:val="16"/>
                <w:szCs w:val="16"/>
              </w:rPr>
            </w:pP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63898136">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1EB6DDF">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662C39DC">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783B91B4">
            <w:pPr>
              <w:jc w:val="center"/>
              <w:rPr>
                <w:rFonts w:hint="eastAsia" w:ascii="宋体" w:hAnsi="宋体" w:cs="宋体"/>
                <w:color w:val="000000"/>
                <w:sz w:val="16"/>
                <w:szCs w:val="16"/>
              </w:rPr>
            </w:pPr>
          </w:p>
        </w:tc>
      </w:tr>
      <w:tr w14:paraId="5E0AB34B">
        <w:tblPrEx>
          <w:tblCellMar>
            <w:top w:w="0" w:type="dxa"/>
            <w:left w:w="108" w:type="dxa"/>
            <w:bottom w:w="0" w:type="dxa"/>
            <w:right w:w="108" w:type="dxa"/>
          </w:tblCellMar>
        </w:tblPrEx>
        <w:trPr>
          <w:trHeight w:val="170" w:hRule="atLeast"/>
          <w:jc w:val="center"/>
        </w:trPr>
        <w:tc>
          <w:tcPr>
            <w:tcW w:w="520" w:type="dxa"/>
            <w:vMerge w:val="continue"/>
            <w:tcBorders>
              <w:top w:val="nil"/>
              <w:left w:val="single" w:color="auto" w:sz="4" w:space="0"/>
              <w:bottom w:val="single" w:color="000000" w:sz="4" w:space="0"/>
              <w:right w:val="single" w:color="000000" w:sz="4" w:space="0"/>
            </w:tcBorders>
            <w:noWrap w:val="0"/>
            <w:vAlign w:val="center"/>
          </w:tcPr>
          <w:p w14:paraId="7A896E69">
            <w:pPr>
              <w:jc w:val="center"/>
              <w:rPr>
                <w:rFonts w:hint="eastAsia" w:ascii="宋体" w:hAnsi="宋体" w:cs="宋体"/>
                <w:color w:val="000000"/>
                <w:sz w:val="16"/>
                <w:szCs w:val="16"/>
              </w:rPr>
            </w:pPr>
          </w:p>
        </w:tc>
        <w:tc>
          <w:tcPr>
            <w:tcW w:w="652" w:type="dxa"/>
            <w:vMerge w:val="continue"/>
            <w:tcBorders>
              <w:top w:val="single" w:color="000000" w:sz="4" w:space="0"/>
              <w:left w:val="nil"/>
              <w:bottom w:val="single" w:color="000000" w:sz="4" w:space="0"/>
              <w:right w:val="single" w:color="000000" w:sz="4" w:space="0"/>
            </w:tcBorders>
            <w:noWrap w:val="0"/>
            <w:vAlign w:val="center"/>
          </w:tcPr>
          <w:p w14:paraId="46F9157B">
            <w:pPr>
              <w:jc w:val="center"/>
              <w:rPr>
                <w:rFonts w:hint="eastAsia" w:ascii="宋体" w:hAnsi="宋体" w:cs="宋体"/>
                <w:color w:val="000000"/>
                <w:sz w:val="16"/>
                <w:szCs w:val="16"/>
              </w:rPr>
            </w:pPr>
          </w:p>
        </w:tc>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78664">
            <w:pPr>
              <w:jc w:val="center"/>
              <w:rPr>
                <w:rFonts w:hint="eastAsia" w:ascii="宋体" w:hAnsi="宋体" w:cs="宋体"/>
                <w:color w:val="000000"/>
                <w:sz w:val="16"/>
                <w:szCs w:val="16"/>
              </w:rPr>
            </w:pPr>
          </w:p>
        </w:tc>
        <w:tc>
          <w:tcPr>
            <w:tcW w:w="2431" w:type="dxa"/>
            <w:gridSpan w:val="3"/>
            <w:tcBorders>
              <w:top w:val="single" w:color="000000" w:sz="4" w:space="0"/>
              <w:left w:val="single" w:color="000000" w:sz="4" w:space="0"/>
              <w:bottom w:val="single" w:color="000000" w:sz="4" w:space="0"/>
              <w:right w:val="single" w:color="000000" w:sz="4" w:space="0"/>
            </w:tcBorders>
            <w:noWrap w:val="0"/>
            <w:vAlign w:val="center"/>
          </w:tcPr>
          <w:p w14:paraId="3909ACAE">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B082E90">
            <w:pPr>
              <w:jc w:val="center"/>
              <w:rPr>
                <w:rFonts w:hint="eastAsia" w:ascii="宋体" w:hAnsi="宋体" w:cs="宋体"/>
                <w:color w:val="000000"/>
                <w:sz w:val="16"/>
                <w:szCs w:val="16"/>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940A59A">
            <w:pPr>
              <w:jc w:val="center"/>
              <w:rPr>
                <w:rFonts w:hint="eastAsia" w:ascii="宋体" w:hAnsi="宋体" w:cs="宋体"/>
                <w:color w:val="000000"/>
                <w:sz w:val="16"/>
                <w:szCs w:val="16"/>
              </w:rPr>
            </w:pPr>
          </w:p>
        </w:tc>
        <w:tc>
          <w:tcPr>
            <w:tcW w:w="2904" w:type="dxa"/>
            <w:gridSpan w:val="2"/>
            <w:tcBorders>
              <w:top w:val="nil"/>
              <w:left w:val="nil"/>
              <w:bottom w:val="single" w:color="000000" w:sz="4" w:space="0"/>
              <w:right w:val="single" w:color="000000" w:sz="4" w:space="0"/>
            </w:tcBorders>
            <w:noWrap w:val="0"/>
            <w:vAlign w:val="center"/>
          </w:tcPr>
          <w:p w14:paraId="5F7C93E2">
            <w:pPr>
              <w:jc w:val="center"/>
              <w:rPr>
                <w:rFonts w:hint="eastAsia" w:ascii="宋体" w:hAnsi="宋体" w:cs="宋体"/>
                <w:color w:val="000000"/>
                <w:sz w:val="16"/>
                <w:szCs w:val="16"/>
              </w:rPr>
            </w:pPr>
          </w:p>
        </w:tc>
      </w:tr>
    </w:tbl>
    <w:p w14:paraId="1528CC5B">
      <w:pPr>
        <w:rPr>
          <w:rFonts w:ascii="微软雅黑" w:hAnsi="微软雅黑" w:eastAsia="微软雅黑" w:cs="微软雅黑"/>
          <w:spacing w:val="5"/>
          <w:position w:val="-2"/>
          <w:sz w:val="43"/>
          <w:szCs w:val="43"/>
        </w:rPr>
      </w:pPr>
      <w:r>
        <w:rPr>
          <w:rFonts w:hint="eastAsia" w:ascii="微软雅黑" w:hAnsi="微软雅黑" w:eastAsia="微软雅黑" w:cs="微软雅黑"/>
          <w:spacing w:val="5"/>
          <w:position w:val="-2"/>
          <w:sz w:val="20"/>
          <w:szCs w:val="20"/>
          <w:lang w:val="en-US" w:eastAsia="zh-CN"/>
        </w:rPr>
        <w:t>本单位年初未列项目支出</w:t>
      </w:r>
      <w:r>
        <w:rPr>
          <w:rFonts w:ascii="微软雅黑" w:hAnsi="微软雅黑" w:eastAsia="微软雅黑" w:cs="微软雅黑"/>
          <w:spacing w:val="5"/>
          <w:position w:val="-2"/>
          <w:sz w:val="43"/>
          <w:szCs w:val="43"/>
        </w:rPr>
        <w:br w:type="page"/>
      </w:r>
    </w:p>
    <w:p w14:paraId="676DCD86">
      <w:pPr>
        <w:spacing w:line="9847" w:lineRule="exact"/>
        <w:sectPr>
          <w:footerReference r:id="rId16" w:type="default"/>
          <w:pgSz w:w="11907" w:h="16839"/>
          <w:pgMar w:top="1587" w:right="1587" w:bottom="1587" w:left="1587" w:header="0" w:footer="964" w:gutter="0"/>
          <w:pgNumType w:fmt="decimal"/>
          <w:cols w:space="0" w:num="1"/>
          <w:rtlGutter w:val="0"/>
          <w:docGrid w:linePitch="0" w:charSpace="0"/>
        </w:sectPr>
      </w:pPr>
    </w:p>
    <w:p w14:paraId="076B7700">
      <w:pPr>
        <w:spacing w:before="225" w:line="443" w:lineRule="exact"/>
        <w:jc w:val="center"/>
        <w:outlineLvl w:val="0"/>
        <w:rPr>
          <w:rFonts w:hint="eastAsia" w:ascii="黑体" w:hAnsi="黑体" w:eastAsia="黑体" w:cs="黑体"/>
          <w:sz w:val="44"/>
          <w:szCs w:val="44"/>
        </w:rPr>
      </w:pPr>
      <w:r>
        <w:rPr>
          <w:rFonts w:hint="eastAsia" w:ascii="黑体" w:hAnsi="黑体" w:eastAsia="黑体" w:cs="黑体"/>
          <w:spacing w:val="5"/>
          <w:position w:val="-2"/>
          <w:sz w:val="44"/>
          <w:szCs w:val="44"/>
        </w:rPr>
        <w:t>第三部分</w:t>
      </w:r>
      <w:r>
        <w:rPr>
          <w:rFonts w:hint="eastAsia" w:ascii="黑体" w:hAnsi="黑体" w:eastAsia="黑体" w:cs="黑体"/>
          <w:spacing w:val="5"/>
          <w:position w:val="-2"/>
          <w:sz w:val="44"/>
          <w:szCs w:val="44"/>
          <w:lang w:val="en-US" w:eastAsia="zh-CN"/>
        </w:rPr>
        <w:t xml:space="preserve">  </w:t>
      </w:r>
      <w:r>
        <w:rPr>
          <w:rFonts w:hint="eastAsia" w:ascii="黑体" w:hAnsi="黑体" w:eastAsia="黑体" w:cs="黑体"/>
          <w:spacing w:val="5"/>
          <w:position w:val="-2"/>
          <w:sz w:val="44"/>
          <w:szCs w:val="44"/>
        </w:rPr>
        <w:t>2023年度部门决算情况说明</w:t>
      </w:r>
    </w:p>
    <w:p w14:paraId="11A1A00C">
      <w:pPr>
        <w:pStyle w:val="2"/>
        <w:spacing w:line="314" w:lineRule="auto"/>
      </w:pPr>
    </w:p>
    <w:p w14:paraId="701A4F98">
      <w:pPr>
        <w:pStyle w:val="2"/>
        <w:spacing w:line="314" w:lineRule="auto"/>
      </w:pPr>
    </w:p>
    <w:p w14:paraId="2F67E335">
      <w:pPr>
        <w:pStyle w:val="2"/>
        <w:spacing w:line="315" w:lineRule="auto"/>
      </w:pPr>
    </w:p>
    <w:p w14:paraId="39E851D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一、收入支出决算总体情况说明</w:t>
      </w:r>
    </w:p>
    <w:p w14:paraId="6CD0A37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年度收</w:t>
      </w:r>
      <w:r>
        <w:rPr>
          <w:rFonts w:hint="eastAsia" w:ascii="仿宋" w:hAnsi="仿宋" w:eastAsia="仿宋" w:cs="仿宋"/>
          <w:spacing w:val="0"/>
          <w:position w:val="0"/>
          <w:sz w:val="31"/>
          <w:szCs w:val="31"/>
          <w:lang w:val="en-US" w:eastAsia="zh-CN"/>
        </w:rPr>
        <w:t>入7506.11万元，</w:t>
      </w:r>
      <w:r>
        <w:rPr>
          <w:rFonts w:ascii="仿宋" w:hAnsi="仿宋" w:eastAsia="仿宋" w:cs="仿宋"/>
          <w:spacing w:val="0"/>
          <w:position w:val="0"/>
          <w:sz w:val="31"/>
          <w:szCs w:val="31"/>
        </w:rPr>
        <w:t>支</w:t>
      </w:r>
      <w:r>
        <w:rPr>
          <w:rFonts w:hint="eastAsia" w:ascii="仿宋" w:hAnsi="仿宋" w:eastAsia="仿宋" w:cs="仿宋"/>
          <w:spacing w:val="0"/>
          <w:position w:val="0"/>
          <w:sz w:val="31"/>
          <w:szCs w:val="31"/>
          <w:lang w:val="en-US" w:eastAsia="zh-CN"/>
        </w:rPr>
        <w:t>出7446.87</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eastAsia="zh-CN"/>
        </w:rPr>
        <w:t>，</w:t>
      </w:r>
      <w:r>
        <w:rPr>
          <w:rFonts w:hint="eastAsia" w:ascii="仿宋" w:hAnsi="仿宋" w:eastAsia="仿宋" w:cs="仿宋"/>
          <w:spacing w:val="0"/>
          <w:position w:val="0"/>
          <w:sz w:val="31"/>
          <w:szCs w:val="31"/>
          <w:lang w:val="en-US" w:eastAsia="zh-CN"/>
        </w:rPr>
        <w:t>结余59.24万元</w:t>
      </w:r>
      <w:r>
        <w:rPr>
          <w:rFonts w:ascii="仿宋" w:hAnsi="仿宋" w:eastAsia="仿宋" w:cs="仿宋"/>
          <w:spacing w:val="0"/>
          <w:position w:val="0"/>
          <w:sz w:val="31"/>
          <w:szCs w:val="31"/>
        </w:rPr>
        <w:t>。与</w:t>
      </w:r>
      <w:r>
        <w:rPr>
          <w:rFonts w:hint="eastAsia" w:ascii="仿宋" w:hAnsi="仿宋" w:eastAsia="仿宋" w:cs="仿宋"/>
          <w:spacing w:val="0"/>
          <w:position w:val="0"/>
          <w:sz w:val="31"/>
          <w:szCs w:val="31"/>
        </w:rPr>
        <w:t>2022</w:t>
      </w:r>
      <w:r>
        <w:rPr>
          <w:rFonts w:ascii="仿宋" w:hAnsi="仿宋" w:eastAsia="仿宋" w:cs="仿宋"/>
          <w:spacing w:val="0"/>
          <w:position w:val="0"/>
          <w:sz w:val="31"/>
          <w:szCs w:val="31"/>
        </w:rPr>
        <w:t>年度相比，收</w:t>
      </w:r>
      <w:r>
        <w:rPr>
          <w:rFonts w:hint="eastAsia" w:ascii="仿宋" w:hAnsi="仿宋" w:eastAsia="仿宋" w:cs="仿宋"/>
          <w:spacing w:val="0"/>
          <w:position w:val="0"/>
          <w:sz w:val="31"/>
          <w:szCs w:val="31"/>
          <w:lang w:val="en-US" w:eastAsia="zh-CN"/>
        </w:rPr>
        <w:t>入增加2978.6万元，</w:t>
      </w:r>
      <w:r>
        <w:rPr>
          <w:rFonts w:ascii="仿宋" w:hAnsi="仿宋" w:eastAsia="仿宋" w:cs="仿宋"/>
          <w:spacing w:val="0"/>
          <w:position w:val="0"/>
          <w:sz w:val="31"/>
          <w:szCs w:val="31"/>
        </w:rPr>
        <w:t>支</w:t>
      </w:r>
      <w:r>
        <w:rPr>
          <w:rFonts w:hint="eastAsia" w:ascii="仿宋" w:hAnsi="仿宋" w:eastAsia="仿宋" w:cs="仿宋"/>
          <w:spacing w:val="0"/>
          <w:position w:val="0"/>
          <w:sz w:val="31"/>
          <w:szCs w:val="31"/>
          <w:lang w:val="en-US" w:eastAsia="zh-CN"/>
        </w:rPr>
        <w:t>出增加2948.22</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val="en-US" w:eastAsia="zh-CN"/>
        </w:rPr>
        <w:t>增加39</w:t>
      </w:r>
      <w:r>
        <w:rPr>
          <w:rFonts w:ascii="宋体" w:hAnsi="宋体" w:eastAsia="宋体" w:cs="宋体"/>
          <w:spacing w:val="0"/>
          <w:position w:val="0"/>
          <w:sz w:val="31"/>
          <w:szCs w:val="31"/>
        </w:rPr>
        <w:t>%</w:t>
      </w:r>
      <w:r>
        <w:rPr>
          <w:rFonts w:ascii="仿宋" w:hAnsi="仿宋" w:eastAsia="仿宋" w:cs="仿宋"/>
          <w:spacing w:val="0"/>
          <w:position w:val="0"/>
          <w:sz w:val="31"/>
          <w:szCs w:val="31"/>
        </w:rPr>
        <w:t>。主要原因</w:t>
      </w:r>
      <w:r>
        <w:rPr>
          <w:rFonts w:hint="eastAsia" w:ascii="仿宋" w:hAnsi="仿宋" w:eastAsia="仿宋" w:cs="仿宋"/>
          <w:spacing w:val="0"/>
          <w:position w:val="0"/>
          <w:sz w:val="31"/>
          <w:szCs w:val="31"/>
          <w:lang w:val="en-US" w:eastAsia="zh-CN"/>
        </w:rPr>
        <w:t>;项目支出增加。</w:t>
      </w:r>
    </w:p>
    <w:p w14:paraId="4CF822D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二、收入决算情况说明</w:t>
      </w:r>
    </w:p>
    <w:p w14:paraId="13176CD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 w:hAnsi="仿宋" w:eastAsia="仿宋" w:cs="仿宋"/>
          <w:spacing w:val="0"/>
          <w:position w:val="0"/>
          <w:sz w:val="31"/>
          <w:szCs w:val="31"/>
          <w:lang w:val="en-US" w:eastAsia="zh-CN"/>
        </w:rPr>
      </w:pPr>
      <w:r>
        <w:rPr>
          <w:rFonts w:ascii="仿宋" w:hAnsi="仿宋" w:eastAsia="仿宋" w:cs="仿宋"/>
          <w:spacing w:val="0"/>
          <w:position w:val="0"/>
          <w:sz w:val="31"/>
          <w:szCs w:val="31"/>
        </w:rPr>
        <w:t>本年收入合计</w:t>
      </w:r>
      <w:r>
        <w:rPr>
          <w:rFonts w:hint="eastAsia" w:ascii="仿宋" w:hAnsi="仿宋" w:eastAsia="仿宋" w:cs="仿宋"/>
          <w:spacing w:val="0"/>
          <w:position w:val="0"/>
          <w:sz w:val="31"/>
          <w:szCs w:val="31"/>
          <w:lang w:val="en-US" w:eastAsia="zh-CN"/>
        </w:rPr>
        <w:t>7506.11</w:t>
      </w:r>
      <w:r>
        <w:rPr>
          <w:rFonts w:ascii="仿宋" w:hAnsi="仿宋" w:eastAsia="仿宋" w:cs="仿宋"/>
          <w:spacing w:val="0"/>
          <w:position w:val="0"/>
          <w:sz w:val="31"/>
          <w:szCs w:val="31"/>
        </w:rPr>
        <w:t>万元，其中：财政拨款收入</w:t>
      </w:r>
      <w:r>
        <w:rPr>
          <w:rFonts w:hint="eastAsia" w:ascii="仿宋" w:hAnsi="仿宋" w:eastAsia="仿宋" w:cs="仿宋"/>
          <w:spacing w:val="0"/>
          <w:position w:val="0"/>
          <w:sz w:val="31"/>
          <w:szCs w:val="31"/>
          <w:lang w:val="en-US" w:eastAsia="zh-CN"/>
        </w:rPr>
        <w:t>7506.11</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val="en-US" w:eastAsia="zh-CN"/>
        </w:rPr>
        <w:t>占100%。</w:t>
      </w:r>
    </w:p>
    <w:p w14:paraId="7AAACFF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三、支出决算情况说明</w:t>
      </w:r>
    </w:p>
    <w:p w14:paraId="5076AD2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本年支出合计</w:t>
      </w:r>
      <w:r>
        <w:rPr>
          <w:rFonts w:hint="eastAsia" w:ascii="仿宋" w:hAnsi="仿宋" w:eastAsia="仿宋" w:cs="仿宋"/>
          <w:spacing w:val="0"/>
          <w:position w:val="0"/>
          <w:sz w:val="31"/>
          <w:szCs w:val="31"/>
          <w:lang w:val="en-US" w:eastAsia="zh-CN"/>
        </w:rPr>
        <w:t>7446.87</w:t>
      </w:r>
      <w:r>
        <w:rPr>
          <w:rFonts w:ascii="仿宋" w:hAnsi="仿宋" w:eastAsia="仿宋" w:cs="仿宋"/>
          <w:spacing w:val="0"/>
          <w:position w:val="0"/>
          <w:sz w:val="31"/>
          <w:szCs w:val="31"/>
        </w:rPr>
        <w:t>万元，其中：基本支出</w:t>
      </w:r>
      <w:r>
        <w:rPr>
          <w:rFonts w:hint="eastAsia" w:ascii="仿宋" w:hAnsi="仿宋" w:eastAsia="仿宋" w:cs="仿宋"/>
          <w:spacing w:val="0"/>
          <w:position w:val="0"/>
          <w:sz w:val="31"/>
          <w:szCs w:val="31"/>
          <w:lang w:val="en-US" w:eastAsia="zh-CN"/>
        </w:rPr>
        <w:t>1308.36</w:t>
      </w:r>
      <w:r>
        <w:rPr>
          <w:rFonts w:ascii="仿宋" w:hAnsi="仿宋" w:eastAsia="仿宋" w:cs="仿宋"/>
          <w:spacing w:val="0"/>
          <w:position w:val="0"/>
          <w:sz w:val="31"/>
          <w:szCs w:val="31"/>
        </w:rPr>
        <w:t>万元，比上年减少</w:t>
      </w:r>
      <w:r>
        <w:rPr>
          <w:rFonts w:hint="eastAsia" w:ascii="仿宋" w:hAnsi="仿宋" w:eastAsia="仿宋" w:cs="仿宋"/>
          <w:spacing w:val="0"/>
          <w:position w:val="0"/>
          <w:sz w:val="31"/>
          <w:szCs w:val="31"/>
          <w:lang w:val="en-US" w:eastAsia="zh-CN"/>
        </w:rPr>
        <w:t>16.44</w:t>
      </w:r>
      <w:r>
        <w:rPr>
          <w:rFonts w:ascii="仿宋" w:hAnsi="仿宋" w:eastAsia="仿宋" w:cs="仿宋"/>
          <w:spacing w:val="0"/>
          <w:position w:val="0"/>
          <w:sz w:val="31"/>
          <w:szCs w:val="31"/>
        </w:rPr>
        <w:t>万元，下降</w:t>
      </w:r>
      <w:r>
        <w:rPr>
          <w:rFonts w:hint="eastAsia" w:ascii="仿宋" w:hAnsi="仿宋" w:eastAsia="仿宋" w:cs="仿宋"/>
          <w:spacing w:val="0"/>
          <w:position w:val="0"/>
          <w:sz w:val="31"/>
          <w:szCs w:val="31"/>
          <w:lang w:val="en-US" w:eastAsia="zh-CN"/>
        </w:rPr>
        <w:t>1.2</w:t>
      </w:r>
      <w:r>
        <w:rPr>
          <w:rFonts w:ascii="宋体" w:hAnsi="宋体" w:eastAsia="宋体" w:cs="宋体"/>
          <w:spacing w:val="0"/>
          <w:position w:val="0"/>
          <w:sz w:val="31"/>
          <w:szCs w:val="31"/>
        </w:rPr>
        <w:t>%</w:t>
      </w:r>
      <w:r>
        <w:rPr>
          <w:rFonts w:ascii="仿宋" w:hAnsi="仿宋" w:eastAsia="仿宋" w:cs="仿宋"/>
          <w:spacing w:val="0"/>
          <w:position w:val="0"/>
          <w:sz w:val="31"/>
          <w:szCs w:val="31"/>
        </w:rPr>
        <w:t>，主要是</w:t>
      </w:r>
      <w:r>
        <w:rPr>
          <w:rFonts w:hint="eastAsia" w:ascii="仿宋" w:hAnsi="仿宋" w:eastAsia="仿宋" w:cs="仿宋"/>
          <w:spacing w:val="0"/>
          <w:position w:val="0"/>
          <w:sz w:val="31"/>
          <w:szCs w:val="31"/>
          <w:lang w:val="en-US" w:eastAsia="zh-CN"/>
        </w:rPr>
        <w:t>节约开支</w:t>
      </w:r>
      <w:r>
        <w:rPr>
          <w:rFonts w:ascii="仿宋" w:hAnsi="仿宋" w:eastAsia="仿宋" w:cs="仿宋"/>
          <w:spacing w:val="0"/>
          <w:position w:val="0"/>
          <w:sz w:val="31"/>
          <w:szCs w:val="31"/>
        </w:rPr>
        <w:t>；项目支出</w:t>
      </w:r>
      <w:r>
        <w:rPr>
          <w:rFonts w:hint="eastAsia" w:ascii="仿宋" w:hAnsi="仿宋" w:eastAsia="仿宋" w:cs="仿宋"/>
          <w:spacing w:val="0"/>
          <w:position w:val="0"/>
          <w:sz w:val="31"/>
          <w:szCs w:val="31"/>
          <w:lang w:val="en-US" w:eastAsia="zh-CN"/>
        </w:rPr>
        <w:t>5955.02</w:t>
      </w:r>
      <w:r>
        <w:rPr>
          <w:rFonts w:ascii="仿宋" w:hAnsi="仿宋" w:eastAsia="仿宋" w:cs="仿宋"/>
          <w:spacing w:val="0"/>
          <w:position w:val="0"/>
          <w:sz w:val="31"/>
          <w:szCs w:val="31"/>
        </w:rPr>
        <w:t>万元，比上年</w:t>
      </w:r>
      <w:r>
        <w:rPr>
          <w:rFonts w:hint="eastAsia" w:ascii="仿宋" w:hAnsi="仿宋" w:eastAsia="仿宋" w:cs="仿宋"/>
          <w:spacing w:val="0"/>
          <w:position w:val="0"/>
          <w:sz w:val="31"/>
          <w:szCs w:val="31"/>
          <w:lang w:val="en-US" w:eastAsia="zh-CN"/>
        </w:rPr>
        <w:t>增加2781.17</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val="en-US" w:eastAsia="zh-CN"/>
        </w:rPr>
        <w:t>增加46.7%</w:t>
      </w:r>
      <w:r>
        <w:rPr>
          <w:rFonts w:ascii="仿宋" w:hAnsi="仿宋" w:eastAsia="仿宋" w:cs="仿宋"/>
          <w:spacing w:val="0"/>
          <w:position w:val="0"/>
          <w:sz w:val="31"/>
          <w:szCs w:val="31"/>
        </w:rPr>
        <w:t>，主要是</w:t>
      </w:r>
      <w:r>
        <w:rPr>
          <w:rFonts w:hint="eastAsia" w:ascii="仿宋" w:hAnsi="仿宋" w:eastAsia="仿宋" w:cs="仿宋"/>
          <w:spacing w:val="0"/>
          <w:position w:val="0"/>
          <w:sz w:val="31"/>
          <w:szCs w:val="31"/>
          <w:lang w:val="en-US" w:eastAsia="zh-CN"/>
        </w:rPr>
        <w:t>项目增加。</w:t>
      </w:r>
    </w:p>
    <w:p w14:paraId="6C636F7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四、财政拨款收入支出决算总体情况说明</w:t>
      </w:r>
    </w:p>
    <w:p w14:paraId="7EF89A6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年度财政拨款收</w:t>
      </w:r>
      <w:r>
        <w:rPr>
          <w:rFonts w:hint="eastAsia" w:ascii="仿宋" w:hAnsi="仿宋" w:eastAsia="仿宋" w:cs="仿宋"/>
          <w:spacing w:val="0"/>
          <w:position w:val="0"/>
          <w:sz w:val="31"/>
          <w:szCs w:val="31"/>
          <w:lang w:val="en-US" w:eastAsia="zh-CN"/>
        </w:rPr>
        <w:t>入7506.11万元，</w:t>
      </w:r>
      <w:r>
        <w:rPr>
          <w:rFonts w:ascii="仿宋" w:hAnsi="仿宋" w:eastAsia="仿宋" w:cs="仿宋"/>
          <w:spacing w:val="0"/>
          <w:position w:val="0"/>
          <w:sz w:val="31"/>
          <w:szCs w:val="31"/>
        </w:rPr>
        <w:t>支</w:t>
      </w:r>
      <w:r>
        <w:rPr>
          <w:rFonts w:hint="eastAsia" w:ascii="仿宋" w:hAnsi="仿宋" w:eastAsia="仿宋" w:cs="仿宋"/>
          <w:spacing w:val="0"/>
          <w:position w:val="0"/>
          <w:sz w:val="31"/>
          <w:szCs w:val="31"/>
          <w:lang w:val="en-US" w:eastAsia="zh-CN"/>
        </w:rPr>
        <w:t>出7446.87</w:t>
      </w:r>
      <w:r>
        <w:rPr>
          <w:rFonts w:ascii="仿宋" w:hAnsi="仿宋" w:eastAsia="仿宋" w:cs="仿宋"/>
          <w:spacing w:val="0"/>
          <w:position w:val="0"/>
          <w:sz w:val="31"/>
          <w:szCs w:val="31"/>
        </w:rPr>
        <w:t>万元，与</w:t>
      </w:r>
      <w:r>
        <w:rPr>
          <w:rFonts w:hint="eastAsia" w:ascii="仿宋" w:hAnsi="仿宋" w:eastAsia="仿宋" w:cs="仿宋"/>
          <w:spacing w:val="0"/>
          <w:position w:val="0"/>
          <w:sz w:val="31"/>
          <w:szCs w:val="31"/>
        </w:rPr>
        <w:t>2022</w:t>
      </w:r>
      <w:r>
        <w:rPr>
          <w:rFonts w:ascii="仿宋" w:hAnsi="仿宋" w:eastAsia="仿宋" w:cs="仿宋"/>
          <w:spacing w:val="0"/>
          <w:position w:val="0"/>
          <w:sz w:val="31"/>
          <w:szCs w:val="31"/>
        </w:rPr>
        <w:t>年相比，财政拨款收</w:t>
      </w:r>
      <w:r>
        <w:rPr>
          <w:rFonts w:hint="eastAsia" w:ascii="仿宋" w:hAnsi="仿宋" w:eastAsia="仿宋" w:cs="仿宋"/>
          <w:spacing w:val="0"/>
          <w:position w:val="0"/>
          <w:sz w:val="31"/>
          <w:szCs w:val="31"/>
          <w:lang w:val="en-US" w:eastAsia="zh-CN"/>
        </w:rPr>
        <w:t>入增加2978.6万元，</w:t>
      </w:r>
      <w:r>
        <w:rPr>
          <w:rFonts w:ascii="仿宋" w:hAnsi="仿宋" w:eastAsia="仿宋" w:cs="仿宋"/>
          <w:spacing w:val="0"/>
          <w:position w:val="0"/>
          <w:sz w:val="31"/>
          <w:szCs w:val="31"/>
        </w:rPr>
        <w:t>支</w:t>
      </w:r>
      <w:r>
        <w:rPr>
          <w:rFonts w:hint="eastAsia" w:ascii="仿宋" w:hAnsi="仿宋" w:eastAsia="仿宋" w:cs="仿宋"/>
          <w:spacing w:val="0"/>
          <w:position w:val="0"/>
          <w:sz w:val="31"/>
          <w:szCs w:val="31"/>
          <w:lang w:val="en-US" w:eastAsia="zh-CN"/>
        </w:rPr>
        <w:t>出增加2948.22</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val="en-US" w:eastAsia="zh-CN"/>
        </w:rPr>
        <w:t>增加39</w:t>
      </w:r>
      <w:r>
        <w:rPr>
          <w:rFonts w:ascii="宋体" w:hAnsi="宋体" w:eastAsia="宋体" w:cs="宋体"/>
          <w:spacing w:val="0"/>
          <w:position w:val="0"/>
          <w:sz w:val="31"/>
          <w:szCs w:val="31"/>
        </w:rPr>
        <w:t>%</w:t>
      </w:r>
      <w:r>
        <w:rPr>
          <w:rFonts w:ascii="仿宋" w:hAnsi="仿宋" w:eastAsia="仿宋" w:cs="仿宋"/>
          <w:spacing w:val="0"/>
          <w:position w:val="0"/>
          <w:sz w:val="31"/>
          <w:szCs w:val="31"/>
        </w:rPr>
        <w:t>。主要原因</w:t>
      </w:r>
      <w:r>
        <w:rPr>
          <w:rFonts w:hint="eastAsia" w:ascii="仿宋" w:hAnsi="仿宋" w:eastAsia="仿宋" w:cs="仿宋"/>
          <w:spacing w:val="0"/>
          <w:position w:val="0"/>
          <w:sz w:val="31"/>
          <w:szCs w:val="31"/>
          <w:lang w:val="en-US" w:eastAsia="zh-CN"/>
        </w:rPr>
        <w:t>;项目支出增加。</w:t>
      </w:r>
    </w:p>
    <w:p w14:paraId="3347D7F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五、一般公共预算财政拨款支出决算情况说明</w:t>
      </w:r>
    </w:p>
    <w:p w14:paraId="5A16BD3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outlineLvl w:val="2"/>
        <w:rPr>
          <w:rFonts w:ascii="仿宋" w:hAnsi="仿宋" w:eastAsia="仿宋" w:cs="仿宋"/>
          <w:spacing w:val="0"/>
          <w:position w:val="0"/>
          <w:sz w:val="31"/>
          <w:szCs w:val="31"/>
        </w:rPr>
      </w:pPr>
      <w:r>
        <w:rPr>
          <w:rFonts w:ascii="仿宋" w:hAnsi="仿宋" w:eastAsia="仿宋" w:cs="仿宋"/>
          <w:b/>
          <w:bCs/>
          <w:spacing w:val="0"/>
          <w:position w:val="0"/>
          <w:sz w:val="31"/>
          <w:szCs w:val="31"/>
        </w:rPr>
        <w:t>（一）一般公共预算财政拨款支出决算总体情况</w:t>
      </w:r>
    </w:p>
    <w:p w14:paraId="1F34421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年度一般公共预算财政拨款支出</w:t>
      </w:r>
      <w:r>
        <w:rPr>
          <w:rFonts w:hint="eastAsia" w:ascii="仿宋" w:hAnsi="仿宋" w:eastAsia="仿宋" w:cs="仿宋"/>
          <w:spacing w:val="0"/>
          <w:position w:val="0"/>
          <w:sz w:val="31"/>
          <w:szCs w:val="31"/>
          <w:lang w:val="en-US" w:eastAsia="zh-CN"/>
        </w:rPr>
        <w:t>7263.38</w:t>
      </w:r>
      <w:r>
        <w:rPr>
          <w:rFonts w:ascii="仿宋" w:hAnsi="仿宋" w:eastAsia="仿宋" w:cs="仿宋"/>
          <w:spacing w:val="0"/>
          <w:position w:val="0"/>
          <w:sz w:val="31"/>
          <w:szCs w:val="31"/>
        </w:rPr>
        <w:t>万元，占本年支出合计的</w:t>
      </w:r>
      <w:r>
        <w:rPr>
          <w:rFonts w:hint="eastAsia" w:ascii="仿宋" w:hAnsi="仿宋" w:eastAsia="仿宋" w:cs="仿宋"/>
          <w:spacing w:val="0"/>
          <w:position w:val="0"/>
          <w:sz w:val="31"/>
          <w:szCs w:val="31"/>
          <w:lang w:val="en-US" w:eastAsia="zh-CN"/>
        </w:rPr>
        <w:t>97</w:t>
      </w:r>
      <w:r>
        <w:rPr>
          <w:rFonts w:ascii="宋体" w:hAnsi="宋体" w:eastAsia="宋体" w:cs="宋体"/>
          <w:spacing w:val="0"/>
          <w:position w:val="0"/>
          <w:sz w:val="31"/>
          <w:szCs w:val="31"/>
        </w:rPr>
        <w:t>%</w:t>
      </w:r>
      <w:r>
        <w:rPr>
          <w:rFonts w:ascii="仿宋" w:hAnsi="仿宋" w:eastAsia="仿宋" w:cs="仿宋"/>
          <w:spacing w:val="0"/>
          <w:position w:val="0"/>
          <w:sz w:val="31"/>
          <w:szCs w:val="31"/>
        </w:rPr>
        <w:t>。与</w:t>
      </w:r>
      <w:r>
        <w:rPr>
          <w:rFonts w:hint="eastAsia" w:ascii="仿宋" w:hAnsi="仿宋" w:eastAsia="仿宋" w:cs="仿宋"/>
          <w:spacing w:val="0"/>
          <w:position w:val="0"/>
          <w:sz w:val="31"/>
          <w:szCs w:val="31"/>
        </w:rPr>
        <w:t>2022</w:t>
      </w:r>
      <w:r>
        <w:rPr>
          <w:rFonts w:ascii="仿宋" w:hAnsi="仿宋" w:eastAsia="仿宋" w:cs="仿宋"/>
          <w:spacing w:val="0"/>
          <w:position w:val="0"/>
          <w:sz w:val="31"/>
          <w:szCs w:val="31"/>
        </w:rPr>
        <w:t>年度相比，一般公共预算财政拨款</w:t>
      </w:r>
      <w:r>
        <w:rPr>
          <w:rFonts w:hint="eastAsia" w:ascii="仿宋" w:hAnsi="仿宋" w:eastAsia="仿宋" w:cs="仿宋"/>
          <w:spacing w:val="0"/>
          <w:position w:val="0"/>
          <w:sz w:val="31"/>
          <w:szCs w:val="31"/>
          <w:lang w:val="en-US" w:eastAsia="zh-CN"/>
        </w:rPr>
        <w:t>支出增加2926.2</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val="en-US" w:eastAsia="zh-CN"/>
        </w:rPr>
        <w:t>增加40.2%</w:t>
      </w:r>
      <w:r>
        <w:rPr>
          <w:rFonts w:ascii="仿宋" w:hAnsi="仿宋" w:eastAsia="仿宋" w:cs="仿宋"/>
          <w:spacing w:val="0"/>
          <w:position w:val="0"/>
          <w:sz w:val="31"/>
          <w:szCs w:val="31"/>
        </w:rPr>
        <w:t>。主要原因：</w:t>
      </w:r>
      <w:r>
        <w:rPr>
          <w:rFonts w:hint="eastAsia" w:ascii="仿宋" w:hAnsi="仿宋" w:eastAsia="仿宋" w:cs="仿宋"/>
          <w:spacing w:val="0"/>
          <w:position w:val="0"/>
          <w:sz w:val="31"/>
          <w:szCs w:val="31"/>
          <w:lang w:val="en-US" w:eastAsia="zh-CN"/>
        </w:rPr>
        <w:t>项目支出增加。</w:t>
      </w:r>
    </w:p>
    <w:p w14:paraId="5F0EA2F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outlineLvl w:val="2"/>
        <w:rPr>
          <w:rFonts w:ascii="仿宋" w:hAnsi="仿宋" w:eastAsia="仿宋" w:cs="仿宋"/>
          <w:spacing w:val="0"/>
          <w:position w:val="0"/>
          <w:sz w:val="31"/>
          <w:szCs w:val="31"/>
        </w:rPr>
      </w:pPr>
      <w:r>
        <w:rPr>
          <w:rFonts w:ascii="仿宋" w:hAnsi="仿宋" w:eastAsia="仿宋" w:cs="仿宋"/>
          <w:b/>
          <w:bCs/>
          <w:spacing w:val="0"/>
          <w:position w:val="0"/>
          <w:sz w:val="31"/>
          <w:szCs w:val="31"/>
        </w:rPr>
        <w:t>（二）一般公共预算财政拨款支出决算结构情况</w:t>
      </w:r>
    </w:p>
    <w:p w14:paraId="72CD68D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仿宋" w:hAnsi="仿宋" w:eastAsia="宋体" w:cs="仿宋"/>
          <w:spacing w:val="0"/>
          <w:position w:val="0"/>
          <w:sz w:val="31"/>
          <w:szCs w:val="31"/>
          <w:lang w:val="en-US" w:eastAsia="zh-CN"/>
        </w:rPr>
      </w:pP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年度一般公共预算财政拨款支出</w:t>
      </w:r>
      <w:r>
        <w:rPr>
          <w:rFonts w:hint="eastAsia" w:ascii="仿宋" w:hAnsi="仿宋" w:eastAsia="仿宋" w:cs="仿宋"/>
          <w:spacing w:val="0"/>
          <w:position w:val="0"/>
          <w:sz w:val="31"/>
          <w:szCs w:val="31"/>
          <w:lang w:val="en-US" w:eastAsia="zh-CN"/>
        </w:rPr>
        <w:t>7263.38</w:t>
      </w:r>
      <w:r>
        <w:rPr>
          <w:rFonts w:ascii="仿宋" w:hAnsi="仿宋" w:eastAsia="仿宋" w:cs="仿宋"/>
          <w:spacing w:val="0"/>
          <w:position w:val="0"/>
          <w:sz w:val="31"/>
          <w:szCs w:val="31"/>
        </w:rPr>
        <w:t>万元，主要用于以下方面：一般公共服务支出</w:t>
      </w:r>
      <w:r>
        <w:rPr>
          <w:rFonts w:hint="eastAsia" w:ascii="仿宋" w:hAnsi="仿宋" w:eastAsia="仿宋" w:cs="仿宋"/>
          <w:spacing w:val="0"/>
          <w:position w:val="0"/>
          <w:sz w:val="31"/>
          <w:szCs w:val="31"/>
          <w:lang w:val="en-US" w:eastAsia="zh-CN"/>
        </w:rPr>
        <w:t>1124.25</w:t>
      </w:r>
      <w:r>
        <w:rPr>
          <w:rFonts w:ascii="仿宋" w:hAnsi="仿宋" w:eastAsia="仿宋" w:cs="仿宋"/>
          <w:spacing w:val="0"/>
          <w:position w:val="0"/>
          <w:sz w:val="31"/>
          <w:szCs w:val="31"/>
        </w:rPr>
        <w:t>万元，占</w:t>
      </w:r>
      <w:r>
        <w:rPr>
          <w:rFonts w:hint="eastAsia" w:ascii="仿宋" w:hAnsi="仿宋" w:eastAsia="仿宋" w:cs="仿宋"/>
          <w:spacing w:val="0"/>
          <w:position w:val="0"/>
          <w:sz w:val="31"/>
          <w:szCs w:val="31"/>
          <w:lang w:val="en-US" w:eastAsia="zh-CN"/>
        </w:rPr>
        <w:t>15.47</w:t>
      </w:r>
      <w:r>
        <w:rPr>
          <w:rFonts w:ascii="宋体" w:hAnsi="宋体" w:eastAsia="宋体" w:cs="宋体"/>
          <w:spacing w:val="0"/>
          <w:position w:val="0"/>
          <w:sz w:val="31"/>
          <w:szCs w:val="31"/>
        </w:rPr>
        <w:t>%</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文化旅游和传媒</w:t>
      </w:r>
      <w:r>
        <w:rPr>
          <w:rFonts w:ascii="仿宋" w:hAnsi="仿宋" w:eastAsia="仿宋" w:cs="仿宋"/>
          <w:spacing w:val="0"/>
          <w:position w:val="0"/>
          <w:sz w:val="31"/>
          <w:szCs w:val="31"/>
        </w:rPr>
        <w:t>支出</w:t>
      </w:r>
      <w:r>
        <w:rPr>
          <w:rFonts w:hint="eastAsia" w:ascii="仿宋" w:hAnsi="仿宋" w:eastAsia="仿宋" w:cs="仿宋"/>
          <w:spacing w:val="0"/>
          <w:position w:val="0"/>
          <w:sz w:val="31"/>
          <w:szCs w:val="31"/>
          <w:lang w:val="en-US" w:eastAsia="zh-CN"/>
        </w:rPr>
        <w:t>20.37</w:t>
      </w:r>
      <w:r>
        <w:rPr>
          <w:rFonts w:ascii="仿宋" w:hAnsi="仿宋" w:eastAsia="仿宋" w:cs="仿宋"/>
          <w:spacing w:val="0"/>
          <w:position w:val="0"/>
          <w:sz w:val="31"/>
          <w:szCs w:val="31"/>
        </w:rPr>
        <w:t>万元，占</w:t>
      </w:r>
      <w:r>
        <w:rPr>
          <w:rFonts w:hint="eastAsia" w:ascii="仿宋" w:hAnsi="仿宋" w:eastAsia="仿宋" w:cs="仿宋"/>
          <w:spacing w:val="0"/>
          <w:position w:val="0"/>
          <w:sz w:val="31"/>
          <w:szCs w:val="31"/>
          <w:lang w:val="en-US" w:eastAsia="zh-CN"/>
        </w:rPr>
        <w:t>0.28</w:t>
      </w:r>
      <w:r>
        <w:rPr>
          <w:rFonts w:ascii="宋体" w:hAnsi="宋体" w:eastAsia="宋体" w:cs="宋体"/>
          <w:spacing w:val="0"/>
          <w:position w:val="0"/>
          <w:sz w:val="31"/>
          <w:szCs w:val="31"/>
        </w:rPr>
        <w:t>%</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社会保障房和就业</w:t>
      </w:r>
      <w:r>
        <w:rPr>
          <w:rFonts w:ascii="仿宋" w:hAnsi="仿宋" w:eastAsia="仿宋" w:cs="仿宋"/>
          <w:spacing w:val="0"/>
          <w:position w:val="0"/>
          <w:sz w:val="31"/>
          <w:szCs w:val="31"/>
        </w:rPr>
        <w:t>支出</w:t>
      </w:r>
      <w:r>
        <w:rPr>
          <w:rFonts w:hint="eastAsia" w:ascii="仿宋" w:hAnsi="仿宋" w:eastAsia="仿宋" w:cs="仿宋"/>
          <w:spacing w:val="0"/>
          <w:position w:val="0"/>
          <w:sz w:val="31"/>
          <w:szCs w:val="31"/>
          <w:lang w:val="en-US" w:eastAsia="zh-CN"/>
        </w:rPr>
        <w:t>262.66</w:t>
      </w:r>
      <w:r>
        <w:rPr>
          <w:rFonts w:ascii="仿宋" w:hAnsi="仿宋" w:eastAsia="仿宋" w:cs="仿宋"/>
          <w:spacing w:val="0"/>
          <w:position w:val="0"/>
          <w:sz w:val="31"/>
          <w:szCs w:val="31"/>
        </w:rPr>
        <w:t>万元，占</w:t>
      </w:r>
      <w:r>
        <w:rPr>
          <w:rFonts w:hint="eastAsia" w:ascii="仿宋" w:hAnsi="仿宋" w:eastAsia="仿宋" w:cs="仿宋"/>
          <w:spacing w:val="0"/>
          <w:position w:val="0"/>
          <w:sz w:val="31"/>
          <w:szCs w:val="31"/>
          <w:lang w:val="en-US" w:eastAsia="zh-CN"/>
        </w:rPr>
        <w:t>3.61</w:t>
      </w:r>
      <w:r>
        <w:rPr>
          <w:rFonts w:ascii="宋体" w:hAnsi="宋体" w:eastAsia="宋体" w:cs="宋体"/>
          <w:spacing w:val="0"/>
          <w:position w:val="0"/>
          <w:sz w:val="31"/>
          <w:szCs w:val="31"/>
        </w:rPr>
        <w:t>%</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卫生健康</w:t>
      </w:r>
      <w:r>
        <w:rPr>
          <w:rFonts w:ascii="仿宋" w:hAnsi="仿宋" w:eastAsia="仿宋" w:cs="仿宋"/>
          <w:spacing w:val="0"/>
          <w:position w:val="0"/>
          <w:sz w:val="31"/>
          <w:szCs w:val="31"/>
        </w:rPr>
        <w:t>支出</w:t>
      </w:r>
      <w:r>
        <w:rPr>
          <w:rFonts w:hint="eastAsia" w:ascii="仿宋" w:hAnsi="仿宋" w:eastAsia="仿宋" w:cs="仿宋"/>
          <w:spacing w:val="0"/>
          <w:position w:val="0"/>
          <w:sz w:val="31"/>
          <w:szCs w:val="31"/>
          <w:lang w:val="en-US" w:eastAsia="zh-CN"/>
        </w:rPr>
        <w:t>69.05</w:t>
      </w:r>
      <w:r>
        <w:rPr>
          <w:rFonts w:ascii="仿宋" w:hAnsi="仿宋" w:eastAsia="仿宋" w:cs="仿宋"/>
          <w:spacing w:val="0"/>
          <w:position w:val="0"/>
          <w:sz w:val="31"/>
          <w:szCs w:val="31"/>
        </w:rPr>
        <w:t>万元，占</w:t>
      </w:r>
      <w:r>
        <w:rPr>
          <w:rFonts w:hint="eastAsia" w:ascii="仿宋" w:hAnsi="仿宋" w:eastAsia="仿宋" w:cs="仿宋"/>
          <w:spacing w:val="0"/>
          <w:position w:val="0"/>
          <w:sz w:val="31"/>
          <w:szCs w:val="31"/>
          <w:lang w:val="en-US" w:eastAsia="zh-CN"/>
        </w:rPr>
        <w:t>0.95</w:t>
      </w:r>
      <w:r>
        <w:rPr>
          <w:rFonts w:ascii="宋体" w:hAnsi="宋体" w:eastAsia="宋体" w:cs="宋体"/>
          <w:spacing w:val="0"/>
          <w:position w:val="0"/>
          <w:sz w:val="31"/>
          <w:szCs w:val="31"/>
        </w:rPr>
        <w:t>%</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节能环保</w:t>
      </w:r>
      <w:r>
        <w:rPr>
          <w:rFonts w:ascii="仿宋" w:hAnsi="仿宋" w:eastAsia="仿宋" w:cs="仿宋"/>
          <w:spacing w:val="0"/>
          <w:position w:val="0"/>
          <w:sz w:val="31"/>
          <w:szCs w:val="31"/>
        </w:rPr>
        <w:t>支出</w:t>
      </w:r>
      <w:r>
        <w:rPr>
          <w:rFonts w:hint="eastAsia" w:ascii="仿宋" w:hAnsi="仿宋" w:eastAsia="仿宋" w:cs="仿宋"/>
          <w:spacing w:val="0"/>
          <w:position w:val="0"/>
          <w:sz w:val="31"/>
          <w:szCs w:val="31"/>
          <w:lang w:val="en-US" w:eastAsia="zh-CN"/>
        </w:rPr>
        <w:t>108.62</w:t>
      </w:r>
      <w:r>
        <w:rPr>
          <w:rFonts w:ascii="仿宋" w:hAnsi="仿宋" w:eastAsia="仿宋" w:cs="仿宋"/>
          <w:spacing w:val="0"/>
          <w:position w:val="0"/>
          <w:sz w:val="31"/>
          <w:szCs w:val="31"/>
        </w:rPr>
        <w:t>万元，占</w:t>
      </w:r>
      <w:r>
        <w:rPr>
          <w:rFonts w:hint="eastAsia" w:ascii="仿宋" w:hAnsi="仿宋" w:eastAsia="仿宋" w:cs="仿宋"/>
          <w:spacing w:val="0"/>
          <w:position w:val="0"/>
          <w:sz w:val="31"/>
          <w:szCs w:val="31"/>
          <w:lang w:val="en-US" w:eastAsia="zh-CN"/>
        </w:rPr>
        <w:t>1.49</w:t>
      </w:r>
      <w:r>
        <w:rPr>
          <w:rFonts w:hint="eastAsia" w:ascii="仿宋" w:hAnsi="仿宋" w:eastAsia="仿宋" w:cs="仿宋"/>
          <w:spacing w:val="0"/>
          <w:position w:val="0"/>
          <w:sz w:val="31"/>
          <w:szCs w:val="31"/>
        </w:rPr>
        <w:t>%</w:t>
      </w:r>
      <w:r>
        <w:rPr>
          <w:rFonts w:hint="eastAsia" w:ascii="仿宋" w:hAnsi="仿宋" w:eastAsia="仿宋" w:cs="仿宋"/>
          <w:spacing w:val="0"/>
          <w:position w:val="0"/>
          <w:sz w:val="31"/>
          <w:szCs w:val="31"/>
          <w:lang w:eastAsia="zh-CN"/>
        </w:rPr>
        <w:t>，</w:t>
      </w:r>
      <w:r>
        <w:rPr>
          <w:rFonts w:hint="eastAsia" w:ascii="仿宋" w:hAnsi="仿宋" w:eastAsia="仿宋" w:cs="仿宋"/>
          <w:spacing w:val="0"/>
          <w:position w:val="0"/>
          <w:sz w:val="31"/>
          <w:szCs w:val="31"/>
          <w:lang w:val="en-US" w:eastAsia="zh-CN"/>
        </w:rPr>
        <w:t>城乡社区支出240万元，占3,3%，农林水支出5341.51万元，占73.54%，住房保障支出70.92万元，占1%，灾害防治24万元，占0.36%。</w:t>
      </w:r>
    </w:p>
    <w:p w14:paraId="66762DA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outlineLvl w:val="2"/>
        <w:rPr>
          <w:rFonts w:ascii="仿宋" w:hAnsi="仿宋" w:eastAsia="仿宋" w:cs="仿宋"/>
          <w:spacing w:val="0"/>
          <w:position w:val="0"/>
          <w:sz w:val="31"/>
          <w:szCs w:val="31"/>
        </w:rPr>
      </w:pPr>
      <w:r>
        <w:rPr>
          <w:rFonts w:ascii="仿宋" w:hAnsi="仿宋" w:eastAsia="仿宋" w:cs="仿宋"/>
          <w:b/>
          <w:bCs/>
          <w:spacing w:val="0"/>
          <w:position w:val="0"/>
          <w:sz w:val="31"/>
          <w:szCs w:val="31"/>
        </w:rPr>
        <w:t>（三）一般公共预算财政拨款支出决算具体情况</w:t>
      </w:r>
    </w:p>
    <w:p w14:paraId="4799F6A5">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年度一般公共预算财政拨款支出年初预算为</w:t>
      </w:r>
      <w:r>
        <w:rPr>
          <w:rFonts w:hint="eastAsia" w:ascii="仿宋" w:hAnsi="仿宋" w:eastAsia="仿宋" w:cs="仿宋"/>
          <w:spacing w:val="0"/>
          <w:position w:val="0"/>
          <w:sz w:val="31"/>
          <w:szCs w:val="31"/>
          <w:lang w:val="en-US" w:eastAsia="zh-CN"/>
        </w:rPr>
        <w:t>7322.64</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7263.38</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99</w:t>
      </w:r>
      <w:r>
        <w:rPr>
          <w:rFonts w:ascii="宋体" w:hAnsi="宋体" w:eastAsia="宋体" w:cs="宋体"/>
          <w:spacing w:val="0"/>
          <w:position w:val="0"/>
          <w:sz w:val="31"/>
          <w:szCs w:val="31"/>
        </w:rPr>
        <w:t>%</w:t>
      </w:r>
      <w:r>
        <w:rPr>
          <w:rFonts w:ascii="仿宋" w:hAnsi="仿宋" w:eastAsia="仿宋" w:cs="仿宋"/>
          <w:spacing w:val="0"/>
          <w:position w:val="0"/>
          <w:sz w:val="31"/>
          <w:szCs w:val="31"/>
        </w:rPr>
        <w:t>。其中：</w:t>
      </w:r>
    </w:p>
    <w:p w14:paraId="37CE5EC0">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一般公共服务</w:t>
      </w:r>
      <w:r>
        <w:rPr>
          <w:rFonts w:hint="eastAsia" w:ascii="仿宋" w:hAnsi="仿宋" w:eastAsia="仿宋" w:cs="仿宋"/>
          <w:spacing w:val="0"/>
          <w:position w:val="0"/>
          <w:sz w:val="31"/>
          <w:szCs w:val="31"/>
          <w:lang w:val="en-US" w:eastAsia="zh-CN"/>
        </w:rPr>
        <w:t>支出</w:t>
      </w:r>
      <w:r>
        <w:rPr>
          <w:rFonts w:ascii="仿宋" w:hAnsi="仿宋" w:eastAsia="仿宋" w:cs="仿宋"/>
          <w:spacing w:val="0"/>
          <w:position w:val="0"/>
          <w:sz w:val="31"/>
          <w:szCs w:val="31"/>
        </w:rPr>
        <w:t>年初预算为</w:t>
      </w:r>
      <w:r>
        <w:rPr>
          <w:rFonts w:hint="eastAsia" w:ascii="仿宋" w:hAnsi="仿宋" w:eastAsia="仿宋" w:cs="仿宋"/>
          <w:spacing w:val="0"/>
          <w:position w:val="0"/>
          <w:sz w:val="31"/>
          <w:szCs w:val="31"/>
          <w:lang w:val="en-US" w:eastAsia="zh-CN"/>
        </w:rPr>
        <w:t>1124.25</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1124.25</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100</w:t>
      </w:r>
      <w:r>
        <w:rPr>
          <w:rFonts w:ascii="宋体" w:hAnsi="宋体" w:eastAsia="宋体" w:cs="宋体"/>
          <w:spacing w:val="0"/>
          <w:position w:val="0"/>
          <w:sz w:val="31"/>
          <w:szCs w:val="31"/>
        </w:rPr>
        <w:t>%</w:t>
      </w:r>
      <w:r>
        <w:rPr>
          <w:rFonts w:ascii="仿宋" w:hAnsi="仿宋" w:eastAsia="仿宋" w:cs="仿宋"/>
          <w:spacing w:val="0"/>
          <w:position w:val="0"/>
          <w:sz w:val="31"/>
          <w:szCs w:val="31"/>
        </w:rPr>
        <w:t>。</w:t>
      </w:r>
    </w:p>
    <w:p w14:paraId="34B897BB">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文化旅游体育与传媒支出</w:t>
      </w:r>
      <w:r>
        <w:rPr>
          <w:rFonts w:ascii="仿宋" w:hAnsi="仿宋" w:eastAsia="仿宋" w:cs="仿宋"/>
          <w:spacing w:val="0"/>
          <w:position w:val="0"/>
          <w:sz w:val="31"/>
          <w:szCs w:val="31"/>
        </w:rPr>
        <w:t>。年初预算为</w:t>
      </w:r>
      <w:r>
        <w:rPr>
          <w:rFonts w:hint="eastAsia" w:ascii="仿宋" w:hAnsi="仿宋" w:eastAsia="仿宋" w:cs="仿宋"/>
          <w:spacing w:val="0"/>
          <w:position w:val="0"/>
          <w:sz w:val="31"/>
          <w:szCs w:val="31"/>
          <w:lang w:val="en-US" w:eastAsia="zh-CN"/>
        </w:rPr>
        <w:t>20.37</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20.37</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100</w:t>
      </w:r>
      <w:r>
        <w:rPr>
          <w:rFonts w:ascii="宋体" w:hAnsi="宋体" w:eastAsia="宋体" w:cs="宋体"/>
          <w:spacing w:val="0"/>
          <w:position w:val="0"/>
          <w:sz w:val="31"/>
          <w:szCs w:val="31"/>
        </w:rPr>
        <w:t>%</w:t>
      </w:r>
      <w:r>
        <w:rPr>
          <w:rFonts w:ascii="仿宋" w:hAnsi="仿宋" w:eastAsia="仿宋" w:cs="仿宋"/>
          <w:spacing w:val="0"/>
          <w:position w:val="0"/>
          <w:sz w:val="31"/>
          <w:szCs w:val="31"/>
        </w:rPr>
        <w:t>。</w:t>
      </w:r>
    </w:p>
    <w:p w14:paraId="10A1B397">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社会保障和就业支出</w:t>
      </w:r>
      <w:r>
        <w:rPr>
          <w:rFonts w:ascii="仿宋" w:hAnsi="仿宋" w:eastAsia="仿宋" w:cs="仿宋"/>
          <w:spacing w:val="0"/>
          <w:position w:val="0"/>
          <w:sz w:val="31"/>
          <w:szCs w:val="31"/>
        </w:rPr>
        <w:t>。年初预算为</w:t>
      </w:r>
      <w:r>
        <w:rPr>
          <w:rFonts w:hint="eastAsia" w:ascii="仿宋" w:hAnsi="仿宋" w:eastAsia="仿宋" w:cs="仿宋"/>
          <w:spacing w:val="0"/>
          <w:position w:val="0"/>
          <w:sz w:val="31"/>
          <w:szCs w:val="31"/>
          <w:lang w:val="en-US" w:eastAsia="zh-CN"/>
        </w:rPr>
        <w:t>262.66</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262.66</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100</w:t>
      </w:r>
      <w:r>
        <w:rPr>
          <w:rFonts w:ascii="宋体" w:hAnsi="宋体" w:eastAsia="宋体" w:cs="宋体"/>
          <w:spacing w:val="0"/>
          <w:position w:val="0"/>
          <w:sz w:val="31"/>
          <w:szCs w:val="31"/>
        </w:rPr>
        <w:t>%</w:t>
      </w:r>
      <w:r>
        <w:rPr>
          <w:rFonts w:ascii="仿宋" w:hAnsi="仿宋" w:eastAsia="仿宋" w:cs="仿宋"/>
          <w:spacing w:val="0"/>
          <w:position w:val="0"/>
          <w:sz w:val="31"/>
          <w:szCs w:val="31"/>
        </w:rPr>
        <w:t>。</w:t>
      </w:r>
    </w:p>
    <w:p w14:paraId="50C5B783">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20" w:firstLineChars="200"/>
        <w:jc w:val="both"/>
        <w:textAlignment w:val="baseline"/>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卫生健康支出。</w:t>
      </w:r>
      <w:r>
        <w:rPr>
          <w:rFonts w:ascii="仿宋" w:hAnsi="仿宋" w:eastAsia="仿宋" w:cs="仿宋"/>
          <w:spacing w:val="0"/>
          <w:position w:val="0"/>
          <w:sz w:val="31"/>
          <w:szCs w:val="31"/>
        </w:rPr>
        <w:t>年初预算为</w:t>
      </w:r>
      <w:r>
        <w:rPr>
          <w:rFonts w:hint="eastAsia" w:ascii="仿宋" w:hAnsi="仿宋" w:eastAsia="仿宋" w:cs="仿宋"/>
          <w:spacing w:val="0"/>
          <w:position w:val="0"/>
          <w:sz w:val="31"/>
          <w:szCs w:val="31"/>
          <w:lang w:val="en-US" w:eastAsia="zh-CN"/>
        </w:rPr>
        <w:t>69.06</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69.06</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100</w:t>
      </w:r>
      <w:r>
        <w:rPr>
          <w:rFonts w:ascii="宋体" w:hAnsi="宋体" w:eastAsia="宋体" w:cs="宋体"/>
          <w:spacing w:val="0"/>
          <w:position w:val="0"/>
          <w:sz w:val="31"/>
          <w:szCs w:val="31"/>
        </w:rPr>
        <w:t>%</w:t>
      </w:r>
      <w:r>
        <w:rPr>
          <w:rFonts w:ascii="仿宋" w:hAnsi="仿宋" w:eastAsia="仿宋" w:cs="仿宋"/>
          <w:spacing w:val="0"/>
          <w:position w:val="0"/>
          <w:sz w:val="31"/>
          <w:szCs w:val="31"/>
        </w:rPr>
        <w:t>。</w:t>
      </w:r>
    </w:p>
    <w:p w14:paraId="1580E742">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节能环保支出。</w:t>
      </w:r>
      <w:r>
        <w:rPr>
          <w:rFonts w:ascii="仿宋" w:hAnsi="仿宋" w:eastAsia="仿宋" w:cs="仿宋"/>
          <w:spacing w:val="0"/>
          <w:position w:val="0"/>
          <w:sz w:val="31"/>
          <w:szCs w:val="31"/>
        </w:rPr>
        <w:t>年初预算为</w:t>
      </w:r>
      <w:r>
        <w:rPr>
          <w:rFonts w:hint="eastAsia" w:ascii="仿宋" w:hAnsi="仿宋" w:eastAsia="仿宋" w:cs="仿宋"/>
          <w:spacing w:val="0"/>
          <w:position w:val="0"/>
          <w:sz w:val="31"/>
          <w:szCs w:val="31"/>
          <w:lang w:val="en-US" w:eastAsia="zh-CN"/>
        </w:rPr>
        <w:t>108.62</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108.62</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100</w:t>
      </w:r>
      <w:r>
        <w:rPr>
          <w:rFonts w:ascii="宋体" w:hAnsi="宋体" w:eastAsia="宋体" w:cs="宋体"/>
          <w:spacing w:val="0"/>
          <w:position w:val="0"/>
          <w:sz w:val="31"/>
          <w:szCs w:val="31"/>
        </w:rPr>
        <w:t>%</w:t>
      </w:r>
      <w:r>
        <w:rPr>
          <w:rFonts w:ascii="仿宋" w:hAnsi="仿宋" w:eastAsia="仿宋" w:cs="仿宋"/>
          <w:spacing w:val="0"/>
          <w:position w:val="0"/>
          <w:sz w:val="31"/>
          <w:szCs w:val="31"/>
        </w:rPr>
        <w:t>。</w:t>
      </w:r>
    </w:p>
    <w:p w14:paraId="635A8DF6">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20" w:firstLineChars="200"/>
        <w:jc w:val="both"/>
        <w:textAlignment w:val="baseline"/>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城乡社区支出。</w:t>
      </w:r>
      <w:r>
        <w:rPr>
          <w:rFonts w:ascii="仿宋" w:hAnsi="仿宋" w:eastAsia="仿宋" w:cs="仿宋"/>
          <w:spacing w:val="0"/>
          <w:position w:val="0"/>
          <w:sz w:val="31"/>
          <w:szCs w:val="31"/>
        </w:rPr>
        <w:t>年初预算为</w:t>
      </w:r>
      <w:r>
        <w:rPr>
          <w:rFonts w:hint="eastAsia" w:ascii="仿宋" w:hAnsi="仿宋" w:eastAsia="仿宋" w:cs="仿宋"/>
          <w:spacing w:val="0"/>
          <w:position w:val="0"/>
          <w:sz w:val="31"/>
          <w:szCs w:val="31"/>
          <w:lang w:val="en-US" w:eastAsia="zh-CN"/>
        </w:rPr>
        <w:t>240</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240</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100</w:t>
      </w:r>
      <w:r>
        <w:rPr>
          <w:rFonts w:ascii="宋体" w:hAnsi="宋体" w:eastAsia="宋体" w:cs="宋体"/>
          <w:spacing w:val="0"/>
          <w:position w:val="0"/>
          <w:sz w:val="31"/>
          <w:szCs w:val="31"/>
        </w:rPr>
        <w:t>%</w:t>
      </w:r>
      <w:r>
        <w:rPr>
          <w:rFonts w:ascii="仿宋" w:hAnsi="仿宋" w:eastAsia="仿宋" w:cs="仿宋"/>
          <w:spacing w:val="0"/>
          <w:position w:val="0"/>
          <w:sz w:val="31"/>
          <w:szCs w:val="31"/>
        </w:rPr>
        <w:t>。</w:t>
      </w:r>
    </w:p>
    <w:p w14:paraId="1CF35E4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7.农林水支出。</w:t>
      </w:r>
      <w:r>
        <w:rPr>
          <w:rFonts w:ascii="仿宋" w:hAnsi="仿宋" w:eastAsia="仿宋" w:cs="仿宋"/>
          <w:spacing w:val="0"/>
          <w:position w:val="0"/>
          <w:sz w:val="31"/>
          <w:szCs w:val="31"/>
        </w:rPr>
        <w:t>年初预算为</w:t>
      </w:r>
      <w:r>
        <w:rPr>
          <w:rFonts w:hint="eastAsia" w:ascii="仿宋" w:hAnsi="仿宋" w:eastAsia="仿宋" w:cs="仿宋"/>
          <w:spacing w:val="0"/>
          <w:position w:val="0"/>
          <w:sz w:val="31"/>
          <w:szCs w:val="31"/>
          <w:lang w:val="en-US" w:eastAsia="zh-CN"/>
        </w:rPr>
        <w:t>5400.77</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5341.51</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98.9</w:t>
      </w:r>
      <w:r>
        <w:rPr>
          <w:rFonts w:ascii="宋体" w:hAnsi="宋体" w:eastAsia="宋体" w:cs="宋体"/>
          <w:spacing w:val="0"/>
          <w:position w:val="0"/>
          <w:sz w:val="31"/>
          <w:szCs w:val="31"/>
        </w:rPr>
        <w:t>%</w:t>
      </w:r>
      <w:r>
        <w:rPr>
          <w:rFonts w:ascii="仿宋" w:hAnsi="仿宋" w:eastAsia="仿宋" w:cs="仿宋"/>
          <w:spacing w:val="0"/>
          <w:position w:val="0"/>
          <w:sz w:val="31"/>
          <w:szCs w:val="31"/>
        </w:rPr>
        <w:t>。决算数小于预算数的主要原因是</w:t>
      </w:r>
      <w:r>
        <w:rPr>
          <w:rFonts w:hint="eastAsia" w:ascii="仿宋" w:hAnsi="仿宋" w:eastAsia="仿宋" w:cs="仿宋"/>
          <w:spacing w:val="0"/>
          <w:position w:val="0"/>
          <w:sz w:val="31"/>
          <w:szCs w:val="31"/>
          <w:lang w:val="en-US" w:eastAsia="zh-CN"/>
        </w:rPr>
        <w:t>节约开支。</w:t>
      </w:r>
    </w:p>
    <w:p w14:paraId="087BAEB2">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8.住房保障支出。</w:t>
      </w:r>
      <w:r>
        <w:rPr>
          <w:rFonts w:ascii="仿宋" w:hAnsi="仿宋" w:eastAsia="仿宋" w:cs="仿宋"/>
          <w:spacing w:val="0"/>
          <w:position w:val="0"/>
          <w:sz w:val="31"/>
          <w:szCs w:val="31"/>
        </w:rPr>
        <w:t>年初预算为</w:t>
      </w:r>
      <w:r>
        <w:rPr>
          <w:rFonts w:hint="eastAsia" w:ascii="仿宋" w:hAnsi="仿宋" w:eastAsia="仿宋" w:cs="仿宋"/>
          <w:spacing w:val="0"/>
          <w:position w:val="0"/>
          <w:sz w:val="31"/>
          <w:szCs w:val="31"/>
          <w:lang w:val="en-US" w:eastAsia="zh-CN"/>
        </w:rPr>
        <w:t>72.92</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72.92</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100</w:t>
      </w:r>
      <w:r>
        <w:rPr>
          <w:rFonts w:ascii="宋体" w:hAnsi="宋体" w:eastAsia="宋体" w:cs="宋体"/>
          <w:spacing w:val="0"/>
          <w:position w:val="0"/>
          <w:sz w:val="31"/>
          <w:szCs w:val="31"/>
        </w:rPr>
        <w:t>%</w:t>
      </w:r>
      <w:r>
        <w:rPr>
          <w:rFonts w:ascii="仿宋" w:hAnsi="仿宋" w:eastAsia="仿宋" w:cs="仿宋"/>
          <w:spacing w:val="0"/>
          <w:position w:val="0"/>
          <w:sz w:val="31"/>
          <w:szCs w:val="31"/>
        </w:rPr>
        <w:t>。</w:t>
      </w:r>
    </w:p>
    <w:p w14:paraId="6889091B">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9.灾害防治及应急管理支出。</w:t>
      </w:r>
      <w:r>
        <w:rPr>
          <w:rFonts w:ascii="仿宋" w:hAnsi="仿宋" w:eastAsia="仿宋" w:cs="仿宋"/>
          <w:spacing w:val="0"/>
          <w:position w:val="0"/>
          <w:sz w:val="31"/>
          <w:szCs w:val="31"/>
        </w:rPr>
        <w:t>年初预算为</w:t>
      </w:r>
      <w:r>
        <w:rPr>
          <w:rFonts w:hint="eastAsia" w:ascii="仿宋" w:hAnsi="仿宋" w:eastAsia="仿宋" w:cs="仿宋"/>
          <w:spacing w:val="0"/>
          <w:position w:val="0"/>
          <w:sz w:val="31"/>
          <w:szCs w:val="31"/>
          <w:lang w:val="en-US" w:eastAsia="zh-CN"/>
        </w:rPr>
        <w:t>24</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24</w:t>
      </w:r>
      <w:r>
        <w:rPr>
          <w:rFonts w:ascii="仿宋" w:hAnsi="仿宋" w:eastAsia="仿宋" w:cs="仿宋"/>
          <w:spacing w:val="0"/>
          <w:position w:val="0"/>
          <w:sz w:val="31"/>
          <w:szCs w:val="31"/>
        </w:rPr>
        <w:t>万元，完成年初预算的</w:t>
      </w:r>
      <w:r>
        <w:rPr>
          <w:rFonts w:hint="eastAsia" w:ascii="仿宋" w:hAnsi="仿宋" w:eastAsia="仿宋" w:cs="仿宋"/>
          <w:spacing w:val="0"/>
          <w:position w:val="0"/>
          <w:sz w:val="31"/>
          <w:szCs w:val="31"/>
          <w:lang w:val="en-US" w:eastAsia="zh-CN"/>
        </w:rPr>
        <w:t>100</w:t>
      </w:r>
      <w:r>
        <w:rPr>
          <w:rFonts w:ascii="宋体" w:hAnsi="宋体" w:eastAsia="宋体" w:cs="宋体"/>
          <w:spacing w:val="0"/>
          <w:position w:val="0"/>
          <w:sz w:val="31"/>
          <w:szCs w:val="31"/>
        </w:rPr>
        <w:t>%</w:t>
      </w:r>
      <w:r>
        <w:rPr>
          <w:rFonts w:ascii="仿宋" w:hAnsi="仿宋" w:eastAsia="仿宋" w:cs="仿宋"/>
          <w:spacing w:val="0"/>
          <w:position w:val="0"/>
          <w:sz w:val="31"/>
          <w:szCs w:val="31"/>
        </w:rPr>
        <w:t>。</w:t>
      </w:r>
    </w:p>
    <w:p w14:paraId="334616D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六、一般公共预算财政拨款基本支出决算情况说明</w:t>
      </w:r>
    </w:p>
    <w:p w14:paraId="1810417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年度一般公共预算财政拨款基本支出</w:t>
      </w:r>
      <w:r>
        <w:rPr>
          <w:rFonts w:hint="eastAsia" w:ascii="仿宋" w:hAnsi="仿宋" w:eastAsia="仿宋" w:cs="仿宋"/>
          <w:spacing w:val="0"/>
          <w:position w:val="0"/>
          <w:sz w:val="31"/>
          <w:szCs w:val="31"/>
          <w:lang w:val="en-US" w:eastAsia="zh-CN"/>
        </w:rPr>
        <w:t>1804.19</w:t>
      </w:r>
      <w:r>
        <w:rPr>
          <w:rFonts w:ascii="仿宋" w:hAnsi="仿宋" w:eastAsia="仿宋" w:cs="仿宋"/>
          <w:spacing w:val="0"/>
          <w:position w:val="0"/>
          <w:sz w:val="31"/>
          <w:szCs w:val="31"/>
        </w:rPr>
        <w:t>万元，其中：</w:t>
      </w:r>
    </w:p>
    <w:p w14:paraId="2F373D2B">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rPr>
          <w:rFonts w:hint="eastAsia" w:ascii="仿宋" w:hAnsi="仿宋" w:eastAsia="仿宋" w:cs="仿宋"/>
          <w:spacing w:val="0"/>
          <w:position w:val="0"/>
          <w:sz w:val="31"/>
          <w:szCs w:val="31"/>
          <w:lang w:val="en-US" w:eastAsia="zh-CN"/>
        </w:rPr>
      </w:pPr>
      <w:r>
        <w:rPr>
          <w:rFonts w:ascii="仿宋" w:hAnsi="仿宋" w:eastAsia="仿宋" w:cs="仿宋"/>
          <w:b/>
          <w:bCs/>
          <w:spacing w:val="0"/>
          <w:position w:val="0"/>
          <w:sz w:val="31"/>
          <w:szCs w:val="31"/>
        </w:rPr>
        <w:t>人员经费</w:t>
      </w:r>
      <w:r>
        <w:rPr>
          <w:rFonts w:hint="eastAsia" w:ascii="仿宋" w:hAnsi="仿宋" w:eastAsia="仿宋" w:cs="仿宋"/>
          <w:spacing w:val="0"/>
          <w:position w:val="0"/>
          <w:sz w:val="31"/>
          <w:szCs w:val="31"/>
          <w:lang w:val="en-US" w:eastAsia="zh-CN"/>
        </w:rPr>
        <w:t>1045.18</w:t>
      </w:r>
      <w:r>
        <w:rPr>
          <w:rFonts w:ascii="仿宋" w:hAnsi="仿宋" w:eastAsia="仿宋" w:cs="仿宋"/>
          <w:b/>
          <w:bCs/>
          <w:spacing w:val="0"/>
          <w:position w:val="0"/>
          <w:sz w:val="31"/>
          <w:szCs w:val="31"/>
        </w:rPr>
        <w:t>万元</w:t>
      </w:r>
      <w:r>
        <w:rPr>
          <w:rFonts w:ascii="仿宋" w:hAnsi="仿宋" w:eastAsia="仿宋" w:cs="仿宋"/>
          <w:spacing w:val="0"/>
          <w:position w:val="0"/>
          <w:sz w:val="31"/>
          <w:szCs w:val="31"/>
        </w:rPr>
        <w:t>，主要包括：基本工资</w:t>
      </w:r>
      <w:r>
        <w:rPr>
          <w:rFonts w:hint="eastAsia" w:ascii="仿宋" w:hAnsi="仿宋" w:eastAsia="仿宋" w:cs="仿宋"/>
          <w:spacing w:val="0"/>
          <w:position w:val="0"/>
          <w:sz w:val="31"/>
          <w:szCs w:val="31"/>
          <w:lang w:val="en-US" w:eastAsia="zh-CN"/>
        </w:rPr>
        <w:t>409.69万元</w:t>
      </w:r>
      <w:r>
        <w:rPr>
          <w:rFonts w:ascii="仿宋" w:hAnsi="仿宋" w:eastAsia="仿宋" w:cs="仿宋"/>
          <w:spacing w:val="0"/>
          <w:position w:val="0"/>
          <w:sz w:val="31"/>
          <w:szCs w:val="31"/>
        </w:rPr>
        <w:t>、津贴补贴</w:t>
      </w:r>
      <w:r>
        <w:rPr>
          <w:rFonts w:hint="eastAsia" w:ascii="仿宋" w:hAnsi="仿宋" w:eastAsia="仿宋" w:cs="仿宋"/>
          <w:spacing w:val="0"/>
          <w:position w:val="0"/>
          <w:sz w:val="31"/>
          <w:szCs w:val="31"/>
          <w:lang w:val="en-US" w:eastAsia="zh-CN"/>
        </w:rPr>
        <w:t>136.69万元</w:t>
      </w:r>
      <w:r>
        <w:rPr>
          <w:rFonts w:ascii="仿宋" w:hAnsi="仿宋" w:eastAsia="仿宋" w:cs="仿宋"/>
          <w:spacing w:val="0"/>
          <w:position w:val="0"/>
          <w:sz w:val="31"/>
          <w:szCs w:val="31"/>
        </w:rPr>
        <w:t>、奖金</w:t>
      </w:r>
      <w:r>
        <w:rPr>
          <w:rFonts w:hint="eastAsia" w:ascii="仿宋" w:hAnsi="仿宋" w:eastAsia="仿宋" w:cs="仿宋"/>
          <w:spacing w:val="0"/>
          <w:position w:val="0"/>
          <w:sz w:val="31"/>
          <w:szCs w:val="31"/>
          <w:lang w:val="en-US" w:eastAsia="zh-CN"/>
        </w:rPr>
        <w:t>100.05万元</w:t>
      </w:r>
      <w:r>
        <w:rPr>
          <w:rFonts w:ascii="仿宋" w:hAnsi="仿宋" w:eastAsia="仿宋" w:cs="仿宋"/>
          <w:spacing w:val="0"/>
          <w:position w:val="0"/>
          <w:sz w:val="31"/>
          <w:szCs w:val="31"/>
        </w:rPr>
        <w:t>、绩效工资</w:t>
      </w:r>
      <w:r>
        <w:rPr>
          <w:rFonts w:hint="eastAsia" w:ascii="仿宋" w:hAnsi="仿宋" w:eastAsia="仿宋" w:cs="仿宋"/>
          <w:spacing w:val="0"/>
          <w:position w:val="0"/>
          <w:sz w:val="31"/>
          <w:szCs w:val="31"/>
          <w:lang w:val="en-US" w:eastAsia="zh-CN"/>
        </w:rPr>
        <w:t>128.09万元</w:t>
      </w:r>
      <w:r>
        <w:rPr>
          <w:rFonts w:ascii="仿宋" w:hAnsi="仿宋" w:eastAsia="仿宋" w:cs="仿宋"/>
          <w:spacing w:val="0"/>
          <w:position w:val="0"/>
          <w:sz w:val="31"/>
          <w:szCs w:val="31"/>
        </w:rPr>
        <w:t>、机关事业单位基本养老保险缴费</w:t>
      </w:r>
      <w:r>
        <w:rPr>
          <w:rFonts w:hint="eastAsia" w:ascii="仿宋" w:hAnsi="仿宋" w:eastAsia="仿宋" w:cs="仿宋"/>
          <w:spacing w:val="0"/>
          <w:position w:val="0"/>
          <w:sz w:val="31"/>
          <w:szCs w:val="31"/>
          <w:lang w:val="en-US" w:eastAsia="zh-CN"/>
        </w:rPr>
        <w:t>134.26万元</w:t>
      </w:r>
      <w:r>
        <w:rPr>
          <w:rFonts w:ascii="仿宋" w:hAnsi="仿宋" w:eastAsia="仿宋" w:cs="仿宋"/>
          <w:spacing w:val="0"/>
          <w:position w:val="0"/>
          <w:sz w:val="31"/>
          <w:szCs w:val="31"/>
        </w:rPr>
        <w:t>、职业年金缴费</w:t>
      </w:r>
      <w:r>
        <w:rPr>
          <w:rFonts w:hint="eastAsia" w:ascii="仿宋" w:hAnsi="仿宋" w:eastAsia="仿宋" w:cs="仿宋"/>
          <w:spacing w:val="0"/>
          <w:position w:val="0"/>
          <w:sz w:val="31"/>
          <w:szCs w:val="31"/>
          <w:lang w:val="en-US" w:eastAsia="zh-CN"/>
        </w:rPr>
        <w:t>10.48万元</w:t>
      </w:r>
      <w:r>
        <w:rPr>
          <w:rFonts w:ascii="仿宋" w:hAnsi="仿宋" w:eastAsia="仿宋" w:cs="仿宋"/>
          <w:spacing w:val="0"/>
          <w:position w:val="0"/>
          <w:sz w:val="31"/>
          <w:szCs w:val="31"/>
        </w:rPr>
        <w:t>、职工基本医疗保险缴费</w:t>
      </w:r>
      <w:r>
        <w:rPr>
          <w:rFonts w:hint="eastAsia" w:ascii="仿宋" w:hAnsi="仿宋" w:eastAsia="仿宋" w:cs="仿宋"/>
          <w:spacing w:val="0"/>
          <w:position w:val="0"/>
          <w:sz w:val="31"/>
          <w:szCs w:val="31"/>
          <w:lang w:val="en-US" w:eastAsia="zh-CN"/>
        </w:rPr>
        <w:t>51.86万元</w:t>
      </w:r>
      <w:r>
        <w:rPr>
          <w:rFonts w:ascii="仿宋" w:hAnsi="仿宋" w:eastAsia="仿宋" w:cs="仿宋"/>
          <w:spacing w:val="0"/>
          <w:position w:val="0"/>
          <w:sz w:val="31"/>
          <w:szCs w:val="31"/>
        </w:rPr>
        <w:t>、其他社会保障缴费</w:t>
      </w:r>
      <w:r>
        <w:rPr>
          <w:rFonts w:hint="eastAsia" w:ascii="仿宋" w:hAnsi="仿宋" w:eastAsia="仿宋" w:cs="仿宋"/>
          <w:spacing w:val="0"/>
          <w:position w:val="0"/>
          <w:sz w:val="31"/>
          <w:szCs w:val="31"/>
          <w:lang w:val="en-US" w:eastAsia="zh-CN"/>
        </w:rPr>
        <w:t>1.15万元</w:t>
      </w:r>
      <w:r>
        <w:rPr>
          <w:rFonts w:ascii="仿宋" w:hAnsi="仿宋" w:eastAsia="仿宋" w:cs="仿宋"/>
          <w:spacing w:val="0"/>
          <w:position w:val="0"/>
          <w:sz w:val="31"/>
          <w:szCs w:val="31"/>
        </w:rPr>
        <w:t>、住房公积金</w:t>
      </w:r>
      <w:r>
        <w:rPr>
          <w:rFonts w:hint="eastAsia" w:ascii="仿宋" w:hAnsi="仿宋" w:eastAsia="仿宋" w:cs="仿宋"/>
          <w:spacing w:val="0"/>
          <w:position w:val="0"/>
          <w:sz w:val="31"/>
          <w:szCs w:val="31"/>
          <w:lang w:val="en-US" w:eastAsia="zh-CN"/>
        </w:rPr>
        <w:t>72.92万元.</w:t>
      </w:r>
    </w:p>
    <w:p w14:paraId="270885E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rPr>
          <w:rFonts w:hint="eastAsia" w:ascii="仿宋" w:hAnsi="仿宋" w:eastAsia="仿宋" w:cs="仿宋"/>
          <w:spacing w:val="0"/>
          <w:position w:val="0"/>
          <w:sz w:val="31"/>
          <w:szCs w:val="31"/>
          <w:lang w:eastAsia="zh-CN"/>
        </w:rPr>
      </w:pPr>
      <w:r>
        <w:rPr>
          <w:rFonts w:ascii="仿宋" w:hAnsi="仿宋" w:eastAsia="仿宋" w:cs="仿宋"/>
          <w:b/>
          <w:bCs/>
          <w:spacing w:val="0"/>
          <w:position w:val="0"/>
          <w:sz w:val="31"/>
          <w:szCs w:val="31"/>
        </w:rPr>
        <w:t>公用经费</w:t>
      </w:r>
      <w:r>
        <w:rPr>
          <w:rFonts w:hint="eastAsia" w:ascii="仿宋" w:hAnsi="仿宋" w:eastAsia="仿宋" w:cs="仿宋"/>
          <w:spacing w:val="0"/>
          <w:position w:val="0"/>
          <w:sz w:val="31"/>
          <w:szCs w:val="31"/>
          <w:lang w:val="en-US" w:eastAsia="zh-CN"/>
        </w:rPr>
        <w:t>759.01</w:t>
      </w:r>
      <w:r>
        <w:rPr>
          <w:rFonts w:ascii="仿宋" w:hAnsi="仿宋" w:eastAsia="仿宋" w:cs="仿宋"/>
          <w:b/>
          <w:bCs/>
          <w:spacing w:val="0"/>
          <w:position w:val="0"/>
          <w:sz w:val="31"/>
          <w:szCs w:val="31"/>
        </w:rPr>
        <w:t>万元</w:t>
      </w:r>
      <w:r>
        <w:rPr>
          <w:rFonts w:ascii="仿宋" w:hAnsi="仿宋" w:eastAsia="仿宋" w:cs="仿宋"/>
          <w:spacing w:val="0"/>
          <w:position w:val="0"/>
          <w:sz w:val="31"/>
          <w:szCs w:val="31"/>
        </w:rPr>
        <w:t>，主要包括：办公费</w:t>
      </w:r>
      <w:r>
        <w:rPr>
          <w:rFonts w:hint="eastAsia" w:ascii="仿宋" w:hAnsi="仿宋" w:eastAsia="仿宋" w:cs="仿宋"/>
          <w:spacing w:val="0"/>
          <w:position w:val="0"/>
          <w:sz w:val="31"/>
          <w:szCs w:val="31"/>
          <w:lang w:val="en-US" w:eastAsia="zh-CN"/>
        </w:rPr>
        <w:t>31.64万元</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印刷费31.34万元，电</w:t>
      </w:r>
      <w:r>
        <w:rPr>
          <w:rFonts w:ascii="仿宋" w:hAnsi="仿宋" w:eastAsia="仿宋" w:cs="仿宋"/>
          <w:spacing w:val="0"/>
          <w:position w:val="0"/>
          <w:sz w:val="31"/>
          <w:szCs w:val="31"/>
        </w:rPr>
        <w:t>费</w:t>
      </w:r>
      <w:r>
        <w:rPr>
          <w:rFonts w:hint="eastAsia" w:ascii="仿宋" w:hAnsi="仿宋" w:eastAsia="仿宋" w:cs="仿宋"/>
          <w:spacing w:val="0"/>
          <w:position w:val="0"/>
          <w:sz w:val="31"/>
          <w:szCs w:val="31"/>
          <w:lang w:val="en-US" w:eastAsia="zh-CN"/>
        </w:rPr>
        <w:t>17.89万元</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咨询费23.88万元、手续费0.16万元、水费1.75万元、邮电</w:t>
      </w:r>
      <w:r>
        <w:rPr>
          <w:rFonts w:ascii="仿宋" w:hAnsi="仿宋" w:eastAsia="仿宋" w:cs="仿宋"/>
          <w:spacing w:val="0"/>
          <w:position w:val="0"/>
          <w:sz w:val="31"/>
          <w:szCs w:val="31"/>
        </w:rPr>
        <w:t>费</w:t>
      </w:r>
      <w:r>
        <w:rPr>
          <w:rFonts w:hint="eastAsia" w:ascii="仿宋" w:hAnsi="仿宋" w:eastAsia="仿宋" w:cs="仿宋"/>
          <w:spacing w:val="0"/>
          <w:position w:val="0"/>
          <w:sz w:val="31"/>
          <w:szCs w:val="31"/>
          <w:lang w:val="en-US" w:eastAsia="zh-CN"/>
        </w:rPr>
        <w:t>1.4万元</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取暖</w:t>
      </w:r>
      <w:r>
        <w:rPr>
          <w:rFonts w:ascii="仿宋" w:hAnsi="仿宋" w:eastAsia="仿宋" w:cs="仿宋"/>
          <w:spacing w:val="0"/>
          <w:position w:val="0"/>
          <w:sz w:val="31"/>
          <w:szCs w:val="31"/>
        </w:rPr>
        <w:t>费</w:t>
      </w:r>
      <w:r>
        <w:rPr>
          <w:rFonts w:hint="eastAsia" w:ascii="仿宋" w:hAnsi="仿宋" w:eastAsia="仿宋" w:cs="仿宋"/>
          <w:spacing w:val="0"/>
          <w:position w:val="0"/>
          <w:sz w:val="31"/>
          <w:szCs w:val="31"/>
          <w:lang w:val="en-US" w:eastAsia="zh-CN"/>
        </w:rPr>
        <w:t>10.36万元</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物业管理费3.51万元、维修（护）费16.77万元、租赁费48.74万元、专用材料费142.22万元、差旅</w:t>
      </w:r>
      <w:r>
        <w:rPr>
          <w:rFonts w:ascii="仿宋" w:hAnsi="仿宋" w:eastAsia="仿宋" w:cs="仿宋"/>
          <w:spacing w:val="0"/>
          <w:position w:val="0"/>
          <w:sz w:val="31"/>
          <w:szCs w:val="31"/>
        </w:rPr>
        <w:t>费</w:t>
      </w:r>
      <w:r>
        <w:rPr>
          <w:rFonts w:hint="eastAsia" w:ascii="仿宋" w:hAnsi="仿宋" w:eastAsia="仿宋" w:cs="仿宋"/>
          <w:spacing w:val="0"/>
          <w:position w:val="0"/>
          <w:sz w:val="31"/>
          <w:szCs w:val="31"/>
          <w:lang w:val="en-US" w:eastAsia="zh-CN"/>
        </w:rPr>
        <w:t>13.6万元</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劳务</w:t>
      </w:r>
      <w:r>
        <w:rPr>
          <w:rFonts w:ascii="仿宋" w:hAnsi="仿宋" w:eastAsia="仿宋" w:cs="仿宋"/>
          <w:spacing w:val="0"/>
          <w:position w:val="0"/>
          <w:sz w:val="31"/>
          <w:szCs w:val="31"/>
        </w:rPr>
        <w:t>费</w:t>
      </w:r>
      <w:r>
        <w:rPr>
          <w:rFonts w:hint="eastAsia" w:ascii="仿宋" w:hAnsi="仿宋" w:eastAsia="仿宋" w:cs="仿宋"/>
          <w:spacing w:val="0"/>
          <w:position w:val="0"/>
          <w:sz w:val="31"/>
          <w:szCs w:val="31"/>
          <w:lang w:val="en-US" w:eastAsia="zh-CN"/>
        </w:rPr>
        <w:t>305.7万元</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公务用车运行维护</w:t>
      </w:r>
      <w:r>
        <w:rPr>
          <w:rFonts w:ascii="仿宋" w:hAnsi="仿宋" w:eastAsia="仿宋" w:cs="仿宋"/>
          <w:spacing w:val="0"/>
          <w:position w:val="0"/>
          <w:sz w:val="31"/>
          <w:szCs w:val="31"/>
        </w:rPr>
        <w:t>费</w:t>
      </w:r>
      <w:r>
        <w:rPr>
          <w:rFonts w:hint="eastAsia" w:ascii="仿宋" w:hAnsi="仿宋" w:eastAsia="仿宋" w:cs="仿宋"/>
          <w:spacing w:val="0"/>
          <w:position w:val="0"/>
          <w:sz w:val="31"/>
          <w:szCs w:val="31"/>
          <w:lang w:val="en-US" w:eastAsia="zh-CN"/>
        </w:rPr>
        <w:t>4.23万元</w:t>
      </w:r>
      <w:r>
        <w:rPr>
          <w:rFonts w:ascii="仿宋" w:hAnsi="仿宋" w:eastAsia="仿宋" w:cs="仿宋"/>
          <w:spacing w:val="0"/>
          <w:position w:val="0"/>
          <w:sz w:val="31"/>
          <w:szCs w:val="31"/>
        </w:rPr>
        <w:t>、</w:t>
      </w:r>
      <w:r>
        <w:rPr>
          <w:rFonts w:hint="eastAsia" w:ascii="仿宋" w:hAnsi="仿宋" w:eastAsia="仿宋" w:cs="仿宋"/>
          <w:spacing w:val="0"/>
          <w:position w:val="0"/>
          <w:sz w:val="31"/>
          <w:szCs w:val="31"/>
          <w:lang w:val="en-US" w:eastAsia="zh-CN"/>
        </w:rPr>
        <w:t>其他交通</w:t>
      </w:r>
      <w:r>
        <w:rPr>
          <w:rFonts w:ascii="仿宋" w:hAnsi="仿宋" w:eastAsia="仿宋" w:cs="仿宋"/>
          <w:spacing w:val="0"/>
          <w:position w:val="0"/>
          <w:sz w:val="31"/>
          <w:szCs w:val="31"/>
        </w:rPr>
        <w:t>费</w:t>
      </w:r>
      <w:r>
        <w:rPr>
          <w:rFonts w:hint="eastAsia" w:ascii="仿宋" w:hAnsi="仿宋" w:eastAsia="仿宋" w:cs="仿宋"/>
          <w:spacing w:val="0"/>
          <w:position w:val="0"/>
          <w:sz w:val="31"/>
          <w:szCs w:val="31"/>
          <w:lang w:val="en-US" w:eastAsia="zh-CN"/>
        </w:rPr>
        <w:t>49.12万元</w:t>
      </w:r>
      <w:r>
        <w:rPr>
          <w:rFonts w:ascii="仿宋" w:hAnsi="仿宋" w:eastAsia="仿宋" w:cs="仿宋"/>
          <w:spacing w:val="0"/>
          <w:position w:val="0"/>
          <w:sz w:val="31"/>
          <w:szCs w:val="31"/>
        </w:rPr>
        <w:t>、其他商品和服务支出</w:t>
      </w:r>
      <w:r>
        <w:rPr>
          <w:rFonts w:hint="eastAsia" w:ascii="仿宋" w:hAnsi="仿宋" w:eastAsia="仿宋" w:cs="仿宋"/>
          <w:spacing w:val="0"/>
          <w:position w:val="0"/>
          <w:sz w:val="31"/>
          <w:szCs w:val="31"/>
          <w:lang w:val="en-US" w:eastAsia="zh-CN"/>
        </w:rPr>
        <w:t>56.72万元</w:t>
      </w:r>
      <w:r>
        <w:rPr>
          <w:rFonts w:hint="eastAsia" w:ascii="仿宋" w:hAnsi="仿宋" w:eastAsia="仿宋" w:cs="仿宋"/>
          <w:spacing w:val="0"/>
          <w:position w:val="0"/>
          <w:sz w:val="31"/>
          <w:szCs w:val="31"/>
          <w:lang w:eastAsia="zh-CN"/>
        </w:rPr>
        <w:t>。</w:t>
      </w:r>
    </w:p>
    <w:p w14:paraId="3B8B584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七、政府性基金预算财政拨款收入支出决算情况说明</w:t>
      </w:r>
    </w:p>
    <w:p w14:paraId="29DFBE6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年度政府性基金预算财政拨款年初结转和结余</w:t>
      </w:r>
      <w:r>
        <w:rPr>
          <w:rFonts w:hint="eastAsia" w:ascii="仿宋" w:hAnsi="仿宋" w:eastAsia="仿宋" w:cs="仿宋"/>
          <w:spacing w:val="0"/>
          <w:position w:val="0"/>
          <w:sz w:val="31"/>
          <w:szCs w:val="31"/>
          <w:lang w:val="en-US" w:eastAsia="zh-CN"/>
        </w:rPr>
        <w:t>0</w:t>
      </w:r>
      <w:r>
        <w:rPr>
          <w:rFonts w:ascii="仿宋" w:hAnsi="仿宋" w:eastAsia="仿宋" w:cs="仿宋"/>
          <w:spacing w:val="0"/>
          <w:position w:val="0"/>
          <w:sz w:val="31"/>
          <w:szCs w:val="31"/>
        </w:rPr>
        <w:t>万元；本年收入</w:t>
      </w:r>
      <w:r>
        <w:rPr>
          <w:rFonts w:hint="eastAsia" w:ascii="仿宋" w:hAnsi="仿宋" w:eastAsia="仿宋" w:cs="仿宋"/>
          <w:spacing w:val="0"/>
          <w:position w:val="0"/>
          <w:sz w:val="31"/>
          <w:szCs w:val="31"/>
          <w:lang w:val="en-US" w:eastAsia="zh-CN"/>
        </w:rPr>
        <w:t>183.49</w:t>
      </w:r>
      <w:r>
        <w:rPr>
          <w:rFonts w:ascii="仿宋" w:hAnsi="仿宋" w:eastAsia="仿宋" w:cs="仿宋"/>
          <w:spacing w:val="0"/>
          <w:position w:val="0"/>
          <w:sz w:val="31"/>
          <w:szCs w:val="31"/>
        </w:rPr>
        <w:t>万元，比上年</w:t>
      </w:r>
      <w:r>
        <w:rPr>
          <w:rFonts w:hint="eastAsia" w:ascii="仿宋" w:hAnsi="仿宋" w:eastAsia="仿宋" w:cs="仿宋"/>
          <w:spacing w:val="0"/>
          <w:position w:val="0"/>
          <w:sz w:val="31"/>
          <w:szCs w:val="31"/>
          <w:lang w:val="en-US" w:eastAsia="zh-CN"/>
        </w:rPr>
        <w:t>增加89.09</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val="en-US" w:eastAsia="zh-CN"/>
        </w:rPr>
        <w:t>增加48%</w:t>
      </w:r>
      <w:r>
        <w:rPr>
          <w:rFonts w:ascii="仿宋" w:hAnsi="仿宋" w:eastAsia="仿宋" w:cs="仿宋"/>
          <w:spacing w:val="0"/>
          <w:position w:val="0"/>
          <w:sz w:val="31"/>
          <w:szCs w:val="31"/>
        </w:rPr>
        <w:t>，主要是</w:t>
      </w:r>
      <w:r>
        <w:rPr>
          <w:rFonts w:hint="eastAsia" w:ascii="仿宋" w:hAnsi="仿宋" w:eastAsia="仿宋" w:cs="仿宋"/>
          <w:spacing w:val="0"/>
          <w:position w:val="0"/>
          <w:sz w:val="31"/>
          <w:szCs w:val="31"/>
          <w:lang w:val="en-US" w:eastAsia="zh-CN"/>
        </w:rPr>
        <w:t>项目增加</w:t>
      </w:r>
      <w:r>
        <w:rPr>
          <w:rFonts w:ascii="仿宋" w:hAnsi="仿宋" w:eastAsia="仿宋" w:cs="仿宋"/>
          <w:spacing w:val="0"/>
          <w:position w:val="0"/>
          <w:sz w:val="31"/>
          <w:szCs w:val="31"/>
        </w:rPr>
        <w:t>；本年支出</w:t>
      </w:r>
      <w:r>
        <w:rPr>
          <w:rFonts w:hint="eastAsia" w:ascii="仿宋" w:hAnsi="仿宋" w:eastAsia="仿宋" w:cs="仿宋"/>
          <w:spacing w:val="0"/>
          <w:position w:val="0"/>
          <w:sz w:val="31"/>
          <w:szCs w:val="31"/>
          <w:lang w:val="en-US" w:eastAsia="zh-CN"/>
        </w:rPr>
        <w:t>183.49</w:t>
      </w:r>
      <w:r>
        <w:rPr>
          <w:rFonts w:ascii="仿宋" w:hAnsi="仿宋" w:eastAsia="仿宋" w:cs="仿宋"/>
          <w:spacing w:val="0"/>
          <w:position w:val="0"/>
          <w:sz w:val="31"/>
          <w:szCs w:val="31"/>
        </w:rPr>
        <w:t>万元，比上年</w:t>
      </w:r>
      <w:r>
        <w:rPr>
          <w:rFonts w:hint="eastAsia" w:ascii="仿宋" w:hAnsi="仿宋" w:eastAsia="仿宋" w:cs="仿宋"/>
          <w:spacing w:val="0"/>
          <w:position w:val="0"/>
          <w:sz w:val="31"/>
          <w:szCs w:val="31"/>
          <w:lang w:val="en-US" w:eastAsia="zh-CN"/>
        </w:rPr>
        <w:t>增加89.09</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val="en-US" w:eastAsia="zh-CN"/>
        </w:rPr>
        <w:t>增加48%</w:t>
      </w:r>
      <w:r>
        <w:rPr>
          <w:rFonts w:ascii="仿宋" w:hAnsi="仿宋" w:eastAsia="仿宋" w:cs="仿宋"/>
          <w:spacing w:val="0"/>
          <w:position w:val="0"/>
          <w:sz w:val="31"/>
          <w:szCs w:val="31"/>
        </w:rPr>
        <w:t>，主要是</w:t>
      </w:r>
      <w:r>
        <w:rPr>
          <w:rFonts w:hint="eastAsia" w:ascii="仿宋" w:hAnsi="仿宋" w:eastAsia="仿宋" w:cs="仿宋"/>
          <w:spacing w:val="0"/>
          <w:position w:val="0"/>
          <w:sz w:val="31"/>
          <w:szCs w:val="31"/>
          <w:lang w:val="en-US" w:eastAsia="zh-CN"/>
        </w:rPr>
        <w:t>项目增加</w:t>
      </w:r>
      <w:r>
        <w:rPr>
          <w:rFonts w:ascii="仿宋" w:hAnsi="仿宋" w:eastAsia="仿宋" w:cs="仿宋"/>
          <w:spacing w:val="0"/>
          <w:position w:val="0"/>
          <w:sz w:val="31"/>
          <w:szCs w:val="31"/>
        </w:rPr>
        <w:t>；年末结转和结余</w:t>
      </w:r>
      <w:r>
        <w:rPr>
          <w:rFonts w:hint="eastAsia" w:ascii="仿宋" w:hAnsi="仿宋" w:eastAsia="仿宋" w:cs="仿宋"/>
          <w:spacing w:val="0"/>
          <w:position w:val="0"/>
          <w:sz w:val="31"/>
          <w:szCs w:val="31"/>
          <w:lang w:val="en-US" w:eastAsia="zh-CN"/>
        </w:rPr>
        <w:t>0</w:t>
      </w:r>
      <w:r>
        <w:rPr>
          <w:rFonts w:ascii="仿宋" w:hAnsi="仿宋" w:eastAsia="仿宋" w:cs="仿宋"/>
          <w:spacing w:val="0"/>
          <w:position w:val="0"/>
          <w:sz w:val="31"/>
          <w:szCs w:val="31"/>
        </w:rPr>
        <w:t>万元。支出具体情况如下：</w:t>
      </w:r>
    </w:p>
    <w:p w14:paraId="446D26EB">
      <w:pPr>
        <w:keepNext w:val="0"/>
        <w:keepLines w:val="0"/>
        <w:pageBreakBefore w:val="0"/>
        <w:widowControl w:val="0"/>
        <w:numPr>
          <w:ilvl w:val="0"/>
          <w:numId w:val="5"/>
        </w:numPr>
        <w:kinsoku/>
        <w:wordWrap/>
        <w:overflowPunct/>
        <w:topLinePunct w:val="0"/>
        <w:autoSpaceDE w:val="0"/>
        <w:autoSpaceDN w:val="0"/>
        <w:bidi w:val="0"/>
        <w:adjustRightInd w:val="0"/>
        <w:snapToGrid w:val="0"/>
        <w:spacing w:line="560" w:lineRule="exact"/>
        <w:ind w:left="10" w:leftChars="0" w:right="0" w:firstLine="620" w:firstLineChars="0"/>
        <w:jc w:val="both"/>
        <w:textAlignment w:val="baseline"/>
        <w:rPr>
          <w:rFonts w:hint="eastAsia" w:ascii="仿宋" w:hAnsi="仿宋" w:eastAsia="仿宋" w:cs="仿宋"/>
          <w:spacing w:val="0"/>
          <w:position w:val="0"/>
          <w:sz w:val="31"/>
          <w:szCs w:val="31"/>
          <w:lang w:eastAsia="zh-CN"/>
        </w:rPr>
      </w:pPr>
      <w:r>
        <w:rPr>
          <w:rFonts w:hint="eastAsia" w:ascii="仿宋" w:hAnsi="仿宋" w:eastAsia="仿宋" w:cs="仿宋"/>
          <w:spacing w:val="0"/>
          <w:position w:val="0"/>
          <w:sz w:val="31"/>
          <w:szCs w:val="31"/>
          <w:lang w:val="en-US" w:eastAsia="zh-CN"/>
        </w:rPr>
        <w:t>农村基础设施建设支出</w:t>
      </w:r>
      <w:r>
        <w:rPr>
          <w:rFonts w:hint="eastAsia" w:ascii="仿宋" w:hAnsi="仿宋" w:eastAsia="仿宋" w:cs="仿宋"/>
          <w:spacing w:val="0"/>
          <w:position w:val="0"/>
          <w:sz w:val="31"/>
          <w:szCs w:val="31"/>
        </w:rPr>
        <w:t>政府性基金财政拨款支出为</w:t>
      </w:r>
      <w:r>
        <w:rPr>
          <w:rFonts w:hint="eastAsia" w:ascii="仿宋" w:hAnsi="仿宋" w:eastAsia="仿宋" w:cs="仿宋"/>
          <w:spacing w:val="0"/>
          <w:position w:val="0"/>
          <w:sz w:val="31"/>
          <w:szCs w:val="31"/>
          <w:lang w:val="en-US" w:eastAsia="zh-CN"/>
        </w:rPr>
        <w:t>133.49</w:t>
      </w:r>
      <w:r>
        <w:rPr>
          <w:rFonts w:hint="eastAsia" w:ascii="仿宋" w:hAnsi="仿宋" w:eastAsia="仿宋" w:cs="仿宋"/>
          <w:spacing w:val="0"/>
          <w:position w:val="0"/>
          <w:sz w:val="31"/>
          <w:szCs w:val="31"/>
        </w:rPr>
        <w:t>万元，主要用于</w:t>
      </w:r>
      <w:r>
        <w:rPr>
          <w:rFonts w:hint="eastAsia" w:ascii="仿宋" w:hAnsi="仿宋" w:eastAsia="仿宋" w:cs="仿宋"/>
          <w:spacing w:val="0"/>
          <w:position w:val="0"/>
          <w:sz w:val="31"/>
          <w:szCs w:val="31"/>
          <w:lang w:val="en-US" w:eastAsia="zh-CN"/>
        </w:rPr>
        <w:t>农村基础设施建设</w:t>
      </w:r>
      <w:r>
        <w:rPr>
          <w:rFonts w:hint="eastAsia" w:ascii="仿宋" w:hAnsi="仿宋" w:eastAsia="仿宋" w:cs="仿宋"/>
          <w:spacing w:val="0"/>
          <w:position w:val="0"/>
          <w:sz w:val="31"/>
          <w:szCs w:val="31"/>
        </w:rPr>
        <w:t>。完成年初预算的</w:t>
      </w:r>
      <w:r>
        <w:rPr>
          <w:rFonts w:hint="eastAsia" w:ascii="仿宋" w:hAnsi="仿宋" w:eastAsia="仿宋" w:cs="仿宋"/>
          <w:spacing w:val="0"/>
          <w:position w:val="0"/>
          <w:sz w:val="31"/>
          <w:szCs w:val="31"/>
          <w:lang w:val="en-US" w:eastAsia="zh-CN"/>
        </w:rPr>
        <w:t>100</w:t>
      </w:r>
      <w:r>
        <w:rPr>
          <w:rFonts w:hint="eastAsia" w:ascii="仿宋" w:hAnsi="仿宋" w:eastAsia="仿宋" w:cs="仿宋"/>
          <w:spacing w:val="0"/>
          <w:position w:val="0"/>
          <w:sz w:val="31"/>
          <w:szCs w:val="31"/>
        </w:rPr>
        <w:t>%</w:t>
      </w:r>
      <w:r>
        <w:rPr>
          <w:rFonts w:hint="eastAsia" w:ascii="仿宋" w:hAnsi="仿宋" w:eastAsia="仿宋" w:cs="仿宋"/>
          <w:spacing w:val="0"/>
          <w:position w:val="0"/>
          <w:sz w:val="31"/>
          <w:szCs w:val="31"/>
          <w:lang w:eastAsia="zh-CN"/>
        </w:rPr>
        <w:t>。</w:t>
      </w:r>
    </w:p>
    <w:p w14:paraId="2A0F2993">
      <w:pPr>
        <w:keepNext w:val="0"/>
        <w:keepLines w:val="0"/>
        <w:pageBreakBefore w:val="0"/>
        <w:widowControl w:val="0"/>
        <w:numPr>
          <w:ilvl w:val="0"/>
          <w:numId w:val="5"/>
        </w:numPr>
        <w:kinsoku/>
        <w:wordWrap/>
        <w:overflowPunct/>
        <w:topLinePunct w:val="0"/>
        <w:autoSpaceDE w:val="0"/>
        <w:autoSpaceDN w:val="0"/>
        <w:bidi w:val="0"/>
        <w:adjustRightInd w:val="0"/>
        <w:snapToGrid w:val="0"/>
        <w:spacing w:line="560" w:lineRule="exact"/>
        <w:ind w:left="10" w:leftChars="0" w:right="0" w:firstLine="620" w:firstLineChars="0"/>
        <w:jc w:val="both"/>
        <w:textAlignment w:val="baseline"/>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农村社会事业支出</w:t>
      </w:r>
      <w:r>
        <w:rPr>
          <w:rFonts w:hint="eastAsia" w:ascii="仿宋" w:hAnsi="仿宋" w:eastAsia="仿宋" w:cs="仿宋"/>
          <w:spacing w:val="0"/>
          <w:position w:val="0"/>
          <w:sz w:val="31"/>
          <w:szCs w:val="31"/>
        </w:rPr>
        <w:t>政府性基金财政拨款支出为</w:t>
      </w:r>
      <w:r>
        <w:rPr>
          <w:rFonts w:hint="eastAsia" w:ascii="仿宋" w:hAnsi="仿宋" w:eastAsia="仿宋" w:cs="仿宋"/>
          <w:spacing w:val="0"/>
          <w:position w:val="0"/>
          <w:sz w:val="31"/>
          <w:szCs w:val="31"/>
          <w:lang w:val="en-US" w:eastAsia="zh-CN"/>
        </w:rPr>
        <w:t>50万元，主要用于农村社会事业。</w:t>
      </w:r>
      <w:r>
        <w:rPr>
          <w:rFonts w:hint="eastAsia" w:ascii="仿宋" w:hAnsi="仿宋" w:eastAsia="仿宋" w:cs="仿宋"/>
          <w:spacing w:val="0"/>
          <w:position w:val="0"/>
          <w:sz w:val="31"/>
          <w:szCs w:val="31"/>
        </w:rPr>
        <w:t>完成年初预算的</w:t>
      </w:r>
      <w:r>
        <w:rPr>
          <w:rFonts w:hint="eastAsia" w:ascii="仿宋" w:hAnsi="仿宋" w:eastAsia="仿宋" w:cs="仿宋"/>
          <w:spacing w:val="0"/>
          <w:position w:val="0"/>
          <w:sz w:val="31"/>
          <w:szCs w:val="31"/>
          <w:lang w:val="en-US" w:eastAsia="zh-CN"/>
        </w:rPr>
        <w:t>100</w:t>
      </w:r>
      <w:r>
        <w:rPr>
          <w:rFonts w:hint="eastAsia" w:ascii="仿宋" w:hAnsi="仿宋" w:eastAsia="仿宋" w:cs="仿宋"/>
          <w:spacing w:val="0"/>
          <w:position w:val="0"/>
          <w:sz w:val="31"/>
          <w:szCs w:val="31"/>
        </w:rPr>
        <w:t>%</w:t>
      </w:r>
      <w:r>
        <w:rPr>
          <w:rFonts w:hint="eastAsia" w:ascii="仿宋" w:hAnsi="仿宋" w:eastAsia="仿宋" w:cs="仿宋"/>
          <w:spacing w:val="0"/>
          <w:position w:val="0"/>
          <w:sz w:val="31"/>
          <w:szCs w:val="31"/>
          <w:lang w:eastAsia="zh-CN"/>
        </w:rPr>
        <w:t>。</w:t>
      </w:r>
    </w:p>
    <w:p w14:paraId="0C3CBC6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八、国有资本经营预算财政拨款支出决算情况说明</w:t>
      </w:r>
    </w:p>
    <w:p w14:paraId="5F9EAA5D">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本单位无国有资本经营预算财政拨款支出</w:t>
      </w:r>
      <w:r>
        <w:rPr>
          <w:rFonts w:ascii="仿宋" w:hAnsi="仿宋" w:eastAsia="仿宋" w:cs="仿宋"/>
          <w:spacing w:val="0"/>
          <w:position w:val="0"/>
          <w:sz w:val="31"/>
          <w:szCs w:val="31"/>
        </w:rPr>
        <w:t>。</w:t>
      </w:r>
    </w:p>
    <w:p w14:paraId="6F46080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九、财政拨款“三公”经费支出决算情况说明</w:t>
      </w:r>
    </w:p>
    <w:p w14:paraId="1541408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（一）“三公”经费财政拨款支出决算总体情况说明</w:t>
      </w:r>
    </w:p>
    <w:p w14:paraId="64A3BFC2">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 w:hAnsi="仿宋" w:eastAsia="仿宋" w:cs="仿宋"/>
          <w:spacing w:val="0"/>
          <w:position w:val="0"/>
          <w:sz w:val="31"/>
          <w:szCs w:val="31"/>
          <w:lang w:eastAsia="zh-CN"/>
        </w:rPr>
      </w:pP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年度“三公”经费财政拨款支出预算为</w:t>
      </w:r>
      <w:r>
        <w:rPr>
          <w:rFonts w:hint="eastAsia" w:ascii="仿宋" w:hAnsi="仿宋" w:eastAsia="仿宋" w:cs="仿宋"/>
          <w:spacing w:val="0"/>
          <w:position w:val="0"/>
          <w:sz w:val="31"/>
          <w:szCs w:val="31"/>
          <w:lang w:val="en-US" w:eastAsia="zh-CN"/>
        </w:rPr>
        <w:t>4.28</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4.23</w:t>
      </w:r>
      <w:r>
        <w:rPr>
          <w:rFonts w:ascii="仿宋" w:hAnsi="仿宋" w:eastAsia="仿宋" w:cs="仿宋"/>
          <w:spacing w:val="0"/>
          <w:position w:val="0"/>
          <w:sz w:val="31"/>
          <w:szCs w:val="31"/>
        </w:rPr>
        <w:t>万元，完成预算的</w:t>
      </w:r>
      <w:r>
        <w:rPr>
          <w:rFonts w:hint="eastAsia" w:ascii="仿宋" w:hAnsi="仿宋" w:eastAsia="仿宋" w:cs="仿宋"/>
          <w:spacing w:val="0"/>
          <w:position w:val="0"/>
          <w:sz w:val="31"/>
          <w:szCs w:val="31"/>
          <w:lang w:val="en-US" w:eastAsia="zh-CN"/>
        </w:rPr>
        <w:t>98</w:t>
      </w:r>
      <w:r>
        <w:rPr>
          <w:rFonts w:ascii="宋体" w:hAnsi="宋体" w:eastAsia="宋体" w:cs="宋体"/>
          <w:spacing w:val="0"/>
          <w:position w:val="0"/>
          <w:sz w:val="31"/>
          <w:szCs w:val="31"/>
        </w:rPr>
        <w:t>%</w:t>
      </w:r>
      <w:r>
        <w:rPr>
          <w:rFonts w:ascii="仿宋" w:hAnsi="仿宋" w:eastAsia="仿宋" w:cs="仿宋"/>
          <w:spacing w:val="0"/>
          <w:position w:val="0"/>
          <w:sz w:val="31"/>
          <w:szCs w:val="31"/>
        </w:rPr>
        <w:t>；较</w:t>
      </w:r>
      <w:r>
        <w:rPr>
          <w:rFonts w:hint="eastAsia" w:ascii="仿宋" w:hAnsi="仿宋" w:eastAsia="仿宋" w:cs="仿宋"/>
          <w:spacing w:val="0"/>
          <w:position w:val="0"/>
          <w:sz w:val="31"/>
          <w:szCs w:val="31"/>
        </w:rPr>
        <w:t>2022</w:t>
      </w:r>
      <w:r>
        <w:rPr>
          <w:rFonts w:ascii="仿宋" w:hAnsi="仿宋" w:eastAsia="仿宋" w:cs="仿宋"/>
          <w:spacing w:val="0"/>
          <w:position w:val="0"/>
          <w:sz w:val="31"/>
          <w:szCs w:val="31"/>
        </w:rPr>
        <w:t>年度增加减少</w:t>
      </w:r>
      <w:r>
        <w:rPr>
          <w:rFonts w:hint="eastAsia" w:ascii="仿宋" w:hAnsi="仿宋" w:eastAsia="仿宋" w:cs="仿宋"/>
          <w:spacing w:val="0"/>
          <w:position w:val="0"/>
          <w:sz w:val="31"/>
          <w:szCs w:val="31"/>
          <w:lang w:val="en-US" w:eastAsia="zh-CN"/>
        </w:rPr>
        <w:t>0.77万</w:t>
      </w:r>
      <w:r>
        <w:rPr>
          <w:rFonts w:ascii="仿宋" w:hAnsi="仿宋" w:eastAsia="仿宋" w:cs="仿宋"/>
          <w:spacing w:val="0"/>
          <w:position w:val="0"/>
          <w:sz w:val="31"/>
          <w:szCs w:val="31"/>
        </w:rPr>
        <w:t>元，下降</w:t>
      </w:r>
      <w:r>
        <w:rPr>
          <w:rFonts w:hint="eastAsia" w:ascii="仿宋" w:hAnsi="仿宋" w:eastAsia="仿宋" w:cs="仿宋"/>
          <w:spacing w:val="0"/>
          <w:position w:val="0"/>
          <w:sz w:val="31"/>
          <w:szCs w:val="31"/>
          <w:lang w:val="en-US" w:eastAsia="zh-CN"/>
        </w:rPr>
        <w:t>18</w:t>
      </w:r>
      <w:r>
        <w:rPr>
          <w:rFonts w:ascii="宋体" w:hAnsi="宋体" w:eastAsia="宋体" w:cs="宋体"/>
          <w:spacing w:val="0"/>
          <w:position w:val="0"/>
          <w:sz w:val="31"/>
          <w:szCs w:val="31"/>
        </w:rPr>
        <w:t>%</w:t>
      </w:r>
      <w:r>
        <w:rPr>
          <w:rFonts w:ascii="仿宋" w:hAnsi="仿宋" w:eastAsia="仿宋" w:cs="仿宋"/>
          <w:spacing w:val="0"/>
          <w:position w:val="0"/>
          <w:sz w:val="31"/>
          <w:szCs w:val="31"/>
        </w:rPr>
        <w:t>，主要原因是</w:t>
      </w:r>
      <w:r>
        <w:rPr>
          <w:rFonts w:hint="eastAsia" w:ascii="仿宋" w:hAnsi="仿宋" w:eastAsia="仿宋" w:cs="仿宋"/>
          <w:spacing w:val="0"/>
          <w:position w:val="0"/>
          <w:sz w:val="31"/>
          <w:szCs w:val="31"/>
          <w:lang w:val="en-US" w:eastAsia="zh-CN"/>
        </w:rPr>
        <w:t>公车维修费用逐年减少</w:t>
      </w:r>
      <w:r>
        <w:rPr>
          <w:rFonts w:ascii="仿宋" w:hAnsi="仿宋" w:eastAsia="仿宋" w:cs="仿宋"/>
          <w:spacing w:val="0"/>
          <w:position w:val="0"/>
          <w:sz w:val="31"/>
          <w:szCs w:val="31"/>
        </w:rPr>
        <w:t>。决算数小于预算数的主要原因</w:t>
      </w:r>
      <w:r>
        <w:rPr>
          <w:rFonts w:hint="eastAsia" w:ascii="仿宋" w:hAnsi="仿宋" w:eastAsia="仿宋" w:cs="仿宋"/>
          <w:spacing w:val="0"/>
          <w:position w:val="0"/>
          <w:sz w:val="31"/>
          <w:szCs w:val="31"/>
          <w:lang w:val="en-US" w:eastAsia="zh-CN"/>
        </w:rPr>
        <w:t>公车维修费用逐年减少。</w:t>
      </w:r>
    </w:p>
    <w:p w14:paraId="015A50E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（二）“三公”经费财政拨款支出决算具体情况说明</w:t>
      </w:r>
    </w:p>
    <w:p w14:paraId="42F0DB9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1</w:t>
      </w:r>
      <w:r>
        <w:rPr>
          <w:rFonts w:ascii="宋体" w:hAnsi="宋体" w:eastAsia="宋体" w:cs="宋体"/>
          <w:spacing w:val="0"/>
          <w:position w:val="0"/>
          <w:sz w:val="31"/>
          <w:szCs w:val="31"/>
        </w:rPr>
        <w:t>.</w:t>
      </w:r>
      <w:r>
        <w:rPr>
          <w:rFonts w:ascii="仿宋" w:hAnsi="仿宋" w:eastAsia="仿宋" w:cs="仿宋"/>
          <w:spacing w:val="0"/>
          <w:position w:val="0"/>
          <w:sz w:val="31"/>
          <w:szCs w:val="31"/>
        </w:rPr>
        <w:t>公务用车购置及运行费预算为</w:t>
      </w:r>
      <w:r>
        <w:rPr>
          <w:rFonts w:hint="eastAsia" w:ascii="仿宋" w:hAnsi="仿宋" w:eastAsia="仿宋" w:cs="仿宋"/>
          <w:spacing w:val="0"/>
          <w:position w:val="0"/>
          <w:sz w:val="31"/>
          <w:szCs w:val="31"/>
          <w:lang w:val="en-US" w:eastAsia="zh-CN"/>
        </w:rPr>
        <w:t>4.28</w:t>
      </w:r>
      <w:r>
        <w:rPr>
          <w:rFonts w:ascii="仿宋" w:hAnsi="仿宋" w:eastAsia="仿宋" w:cs="仿宋"/>
          <w:spacing w:val="0"/>
          <w:position w:val="0"/>
          <w:sz w:val="31"/>
          <w:szCs w:val="31"/>
        </w:rPr>
        <w:t>万元，支出决算为</w:t>
      </w:r>
      <w:r>
        <w:rPr>
          <w:rFonts w:hint="eastAsia" w:ascii="仿宋" w:hAnsi="仿宋" w:eastAsia="仿宋" w:cs="仿宋"/>
          <w:spacing w:val="0"/>
          <w:position w:val="0"/>
          <w:sz w:val="31"/>
          <w:szCs w:val="31"/>
          <w:lang w:val="en-US" w:eastAsia="zh-CN"/>
        </w:rPr>
        <w:t>4.23</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eastAsia="zh-CN"/>
        </w:rPr>
        <w:t>。</w:t>
      </w:r>
      <w:r>
        <w:rPr>
          <w:rFonts w:ascii="仿宋" w:hAnsi="仿宋" w:eastAsia="仿宋" w:cs="仿宋"/>
          <w:spacing w:val="0"/>
          <w:position w:val="0"/>
          <w:sz w:val="31"/>
          <w:szCs w:val="31"/>
        </w:rPr>
        <w:t>截至</w:t>
      </w:r>
      <w:r>
        <w:rPr>
          <w:rFonts w:hint="eastAsia" w:ascii="仿宋" w:hAnsi="仿宋" w:eastAsia="仿宋" w:cs="仿宋"/>
          <w:spacing w:val="0"/>
          <w:position w:val="0"/>
          <w:sz w:val="31"/>
          <w:szCs w:val="31"/>
        </w:rPr>
        <w:t>2023年12月31</w:t>
      </w:r>
      <w:r>
        <w:rPr>
          <w:rFonts w:ascii="仿宋" w:hAnsi="仿宋" w:eastAsia="仿宋" w:cs="仿宋"/>
          <w:spacing w:val="0"/>
          <w:position w:val="0"/>
          <w:sz w:val="31"/>
          <w:szCs w:val="31"/>
        </w:rPr>
        <w:t>日，公务用车保有量为</w:t>
      </w:r>
      <w:r>
        <w:rPr>
          <w:rFonts w:hint="eastAsia" w:ascii="仿宋" w:hAnsi="仿宋" w:eastAsia="仿宋" w:cs="仿宋"/>
          <w:spacing w:val="0"/>
          <w:position w:val="0"/>
          <w:sz w:val="31"/>
          <w:szCs w:val="31"/>
          <w:lang w:val="en-US" w:eastAsia="zh-CN"/>
        </w:rPr>
        <w:t>1</w:t>
      </w:r>
      <w:r>
        <w:rPr>
          <w:rFonts w:ascii="仿宋" w:hAnsi="仿宋" w:eastAsia="仿宋" w:cs="仿宋"/>
          <w:spacing w:val="0"/>
          <w:position w:val="0"/>
          <w:sz w:val="31"/>
          <w:szCs w:val="31"/>
        </w:rPr>
        <w:t>辆。公务用车运行维护费支出</w:t>
      </w:r>
      <w:r>
        <w:rPr>
          <w:rFonts w:hint="eastAsia" w:ascii="仿宋" w:hAnsi="仿宋" w:eastAsia="仿宋" w:cs="仿宋"/>
          <w:spacing w:val="0"/>
          <w:position w:val="0"/>
          <w:sz w:val="31"/>
          <w:szCs w:val="31"/>
          <w:lang w:val="en-US" w:eastAsia="zh-CN"/>
        </w:rPr>
        <w:t>4.23</w:t>
      </w:r>
      <w:r>
        <w:rPr>
          <w:rFonts w:ascii="仿宋" w:hAnsi="仿宋" w:eastAsia="仿宋" w:cs="仿宋"/>
          <w:spacing w:val="0"/>
          <w:position w:val="0"/>
          <w:sz w:val="31"/>
          <w:szCs w:val="31"/>
        </w:rPr>
        <w:t>万元</w:t>
      </w:r>
      <w:r>
        <w:rPr>
          <w:rFonts w:hint="eastAsia" w:ascii="仿宋" w:hAnsi="仿宋" w:eastAsia="仿宋" w:cs="仿宋"/>
          <w:spacing w:val="0"/>
          <w:position w:val="0"/>
          <w:sz w:val="31"/>
          <w:szCs w:val="31"/>
          <w:lang w:eastAsia="zh-CN"/>
        </w:rPr>
        <w:t>。</w:t>
      </w:r>
    </w:p>
    <w:p w14:paraId="0551718B">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outlineLvl w:val="3"/>
        <w:rPr>
          <w:rFonts w:ascii="黑体" w:hAnsi="黑体" w:eastAsia="黑体" w:cs="黑体"/>
          <w:spacing w:val="0"/>
          <w:position w:val="0"/>
          <w:sz w:val="31"/>
          <w:szCs w:val="31"/>
        </w:rPr>
      </w:pPr>
      <w:r>
        <w:rPr>
          <w:rFonts w:ascii="黑体" w:hAnsi="黑体" w:eastAsia="黑体" w:cs="黑体"/>
          <w:spacing w:val="0"/>
          <w:position w:val="0"/>
          <w:sz w:val="31"/>
          <w:szCs w:val="31"/>
        </w:rPr>
        <w:t>十、关于2023年度绩效评价情况说明</w:t>
      </w:r>
    </w:p>
    <w:p w14:paraId="7FBBA70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 w:hAnsi="仿宋" w:eastAsia="仿宋" w:cs="仿宋"/>
          <w:spacing w:val="0"/>
          <w:position w:val="0"/>
          <w:sz w:val="31"/>
          <w:szCs w:val="31"/>
          <w:lang w:eastAsia="zh-CN"/>
        </w:rPr>
      </w:pPr>
      <w:r>
        <w:rPr>
          <w:rFonts w:ascii="仿宋" w:hAnsi="仿宋" w:eastAsia="仿宋" w:cs="仿宋"/>
          <w:spacing w:val="0"/>
          <w:position w:val="0"/>
          <w:sz w:val="31"/>
          <w:szCs w:val="31"/>
        </w:rPr>
        <w:t>本</w:t>
      </w:r>
      <w:r>
        <w:rPr>
          <w:rFonts w:hint="eastAsia" w:ascii="仿宋" w:hAnsi="仿宋" w:eastAsia="仿宋" w:cs="仿宋"/>
          <w:spacing w:val="0"/>
          <w:position w:val="0"/>
          <w:sz w:val="31"/>
          <w:szCs w:val="31"/>
          <w:lang w:val="en-US" w:eastAsia="zh-CN"/>
        </w:rPr>
        <w:t>单位无</w:t>
      </w: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年度一般公共预算项目支出</w:t>
      </w:r>
      <w:r>
        <w:rPr>
          <w:rFonts w:hint="eastAsia" w:ascii="仿宋" w:hAnsi="仿宋" w:eastAsia="仿宋" w:cs="仿宋"/>
          <w:spacing w:val="0"/>
          <w:position w:val="0"/>
          <w:sz w:val="31"/>
          <w:szCs w:val="31"/>
          <w:lang w:eastAsia="zh-CN"/>
        </w:rPr>
        <w:t>。</w:t>
      </w:r>
    </w:p>
    <w:p w14:paraId="24ED7FB5">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黑体" w:hAnsi="黑体" w:eastAsia="黑体" w:cs="黑体"/>
          <w:spacing w:val="0"/>
          <w:position w:val="0"/>
          <w:sz w:val="31"/>
          <w:szCs w:val="31"/>
        </w:rPr>
      </w:pPr>
      <w:r>
        <w:rPr>
          <w:rFonts w:ascii="黑体" w:hAnsi="黑体" w:eastAsia="黑体" w:cs="黑体"/>
          <w:spacing w:val="0"/>
          <w:position w:val="0"/>
          <w:sz w:val="31"/>
          <w:szCs w:val="31"/>
        </w:rPr>
        <w:t>十一、其他重要事项情况说明</w:t>
      </w:r>
    </w:p>
    <w:p w14:paraId="330E29E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（一）机关运行经费执行情况说明</w:t>
      </w:r>
    </w:p>
    <w:p w14:paraId="735DD9E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rPr>
        <w:t>2023</w:t>
      </w:r>
      <w:r>
        <w:rPr>
          <w:rFonts w:ascii="仿宋" w:hAnsi="仿宋" w:eastAsia="仿宋" w:cs="仿宋"/>
          <w:spacing w:val="0"/>
          <w:position w:val="0"/>
          <w:sz w:val="31"/>
          <w:szCs w:val="31"/>
        </w:rPr>
        <w:t>年度机关运行经费支出</w:t>
      </w:r>
      <w:r>
        <w:rPr>
          <w:rFonts w:hint="eastAsia" w:ascii="仿宋" w:hAnsi="仿宋" w:eastAsia="仿宋" w:cs="仿宋"/>
          <w:spacing w:val="0"/>
          <w:position w:val="0"/>
          <w:sz w:val="31"/>
          <w:szCs w:val="31"/>
          <w:lang w:val="en-US" w:eastAsia="zh-CN"/>
        </w:rPr>
        <w:t>759.01</w:t>
      </w:r>
      <w:r>
        <w:rPr>
          <w:rFonts w:ascii="仿宋" w:hAnsi="仿宋" w:eastAsia="仿宋" w:cs="仿宋"/>
          <w:spacing w:val="0"/>
          <w:position w:val="0"/>
          <w:sz w:val="31"/>
          <w:szCs w:val="31"/>
        </w:rPr>
        <w:t>万元，较</w:t>
      </w:r>
      <w:r>
        <w:rPr>
          <w:rFonts w:hint="eastAsia" w:ascii="仿宋" w:hAnsi="仿宋" w:eastAsia="仿宋" w:cs="仿宋"/>
          <w:spacing w:val="0"/>
          <w:position w:val="0"/>
          <w:sz w:val="31"/>
          <w:szCs w:val="31"/>
        </w:rPr>
        <w:t>2022</w:t>
      </w:r>
      <w:r>
        <w:rPr>
          <w:rFonts w:ascii="仿宋" w:hAnsi="仿宋" w:eastAsia="仿宋" w:cs="仿宋"/>
          <w:spacing w:val="0"/>
          <w:position w:val="0"/>
          <w:sz w:val="31"/>
          <w:szCs w:val="31"/>
        </w:rPr>
        <w:t>年度增加</w:t>
      </w:r>
      <w:r>
        <w:rPr>
          <w:rFonts w:hint="eastAsia" w:ascii="仿宋" w:hAnsi="仿宋" w:eastAsia="仿宋" w:cs="仿宋"/>
          <w:spacing w:val="0"/>
          <w:position w:val="0"/>
          <w:sz w:val="31"/>
          <w:szCs w:val="31"/>
          <w:lang w:val="en-US" w:eastAsia="zh-CN"/>
        </w:rPr>
        <w:t>588.21</w:t>
      </w:r>
      <w:r>
        <w:rPr>
          <w:rFonts w:ascii="仿宋" w:hAnsi="仿宋" w:eastAsia="仿宋" w:cs="仿宋"/>
          <w:spacing w:val="0"/>
          <w:position w:val="0"/>
          <w:sz w:val="31"/>
          <w:szCs w:val="31"/>
        </w:rPr>
        <w:t>万元，增长</w:t>
      </w:r>
      <w:r>
        <w:rPr>
          <w:rFonts w:hint="eastAsia" w:ascii="仿宋" w:hAnsi="仿宋" w:eastAsia="仿宋" w:cs="仿宋"/>
          <w:spacing w:val="0"/>
          <w:position w:val="0"/>
          <w:sz w:val="31"/>
          <w:szCs w:val="31"/>
          <w:lang w:val="en-US" w:eastAsia="zh-CN"/>
        </w:rPr>
        <w:t>77</w:t>
      </w:r>
      <w:r>
        <w:rPr>
          <w:rFonts w:ascii="宋体" w:hAnsi="宋体" w:eastAsia="宋体" w:cs="宋体"/>
          <w:spacing w:val="0"/>
          <w:position w:val="0"/>
          <w:sz w:val="31"/>
          <w:szCs w:val="31"/>
        </w:rPr>
        <w:t>%</w:t>
      </w:r>
      <w:r>
        <w:rPr>
          <w:rFonts w:ascii="仿宋" w:hAnsi="仿宋" w:eastAsia="仿宋" w:cs="仿宋"/>
          <w:spacing w:val="0"/>
          <w:position w:val="0"/>
          <w:sz w:val="31"/>
          <w:szCs w:val="31"/>
        </w:rPr>
        <w:t>，主要是</w:t>
      </w:r>
      <w:r>
        <w:rPr>
          <w:rFonts w:hint="eastAsia" w:ascii="仿宋" w:hAnsi="仿宋" w:eastAsia="仿宋" w:cs="仿宋"/>
          <w:spacing w:val="0"/>
          <w:position w:val="0"/>
          <w:sz w:val="31"/>
          <w:szCs w:val="31"/>
          <w:lang w:val="en-US" w:eastAsia="zh-CN"/>
        </w:rPr>
        <w:t>项目增加</w:t>
      </w:r>
      <w:r>
        <w:rPr>
          <w:rFonts w:ascii="仿宋" w:hAnsi="仿宋" w:eastAsia="仿宋" w:cs="仿宋"/>
          <w:spacing w:val="0"/>
          <w:position w:val="0"/>
          <w:sz w:val="31"/>
          <w:szCs w:val="31"/>
        </w:rPr>
        <w:t>。</w:t>
      </w:r>
    </w:p>
    <w:p w14:paraId="73D8988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（二）政府采购支出情况说明</w:t>
      </w:r>
    </w:p>
    <w:p w14:paraId="3BE90B0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本年度无政府采购支出</w:t>
      </w:r>
    </w:p>
    <w:p w14:paraId="3EB1128A">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（三）国有资产占用情况说明</w:t>
      </w:r>
    </w:p>
    <w:p w14:paraId="2EC8EE7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rPr>
        <w:t>截至2023年12月31日，</w:t>
      </w:r>
      <w:r>
        <w:rPr>
          <w:rFonts w:hint="eastAsia" w:ascii="仿宋" w:hAnsi="仿宋" w:eastAsia="仿宋" w:cs="仿宋"/>
          <w:spacing w:val="0"/>
          <w:position w:val="0"/>
          <w:sz w:val="31"/>
          <w:szCs w:val="31"/>
          <w:lang w:val="en-US" w:eastAsia="zh-CN"/>
        </w:rPr>
        <w:t>德惠市布海镇人民政府</w:t>
      </w:r>
      <w:r>
        <w:rPr>
          <w:rFonts w:hint="eastAsia" w:ascii="仿宋" w:hAnsi="仿宋" w:eastAsia="仿宋" w:cs="仿宋"/>
          <w:spacing w:val="0"/>
          <w:position w:val="0"/>
          <w:sz w:val="31"/>
          <w:szCs w:val="31"/>
        </w:rPr>
        <w:t>共有车辆</w:t>
      </w:r>
      <w:r>
        <w:rPr>
          <w:rFonts w:hint="eastAsia" w:ascii="仿宋" w:hAnsi="仿宋" w:eastAsia="仿宋" w:cs="仿宋"/>
          <w:spacing w:val="0"/>
          <w:position w:val="0"/>
          <w:sz w:val="31"/>
          <w:szCs w:val="31"/>
          <w:lang w:val="en-US" w:eastAsia="zh-CN"/>
        </w:rPr>
        <w:t>2</w:t>
      </w:r>
      <w:r>
        <w:rPr>
          <w:rFonts w:hint="eastAsia" w:ascii="仿宋" w:hAnsi="仿宋" w:eastAsia="仿宋" w:cs="仿宋"/>
          <w:spacing w:val="0"/>
          <w:position w:val="0"/>
          <w:sz w:val="31"/>
          <w:szCs w:val="31"/>
        </w:rPr>
        <w:t>辆，其中，主要负责人用车</w:t>
      </w:r>
      <w:r>
        <w:rPr>
          <w:rFonts w:hint="eastAsia" w:ascii="仿宋" w:hAnsi="仿宋" w:eastAsia="仿宋" w:cs="仿宋"/>
          <w:spacing w:val="0"/>
          <w:position w:val="0"/>
          <w:sz w:val="31"/>
          <w:szCs w:val="31"/>
          <w:lang w:val="en-US" w:eastAsia="zh-CN"/>
        </w:rPr>
        <w:t>1</w:t>
      </w:r>
      <w:r>
        <w:rPr>
          <w:rFonts w:hint="eastAsia" w:ascii="仿宋" w:hAnsi="仿宋" w:eastAsia="仿宋" w:cs="仿宋"/>
          <w:spacing w:val="0"/>
          <w:position w:val="0"/>
          <w:sz w:val="31"/>
          <w:szCs w:val="31"/>
        </w:rPr>
        <w:t>辆、</w:t>
      </w:r>
      <w:r>
        <w:rPr>
          <w:rFonts w:hint="eastAsia" w:ascii="仿宋" w:hAnsi="仿宋" w:eastAsia="仿宋" w:cs="仿宋"/>
          <w:spacing w:val="0"/>
          <w:position w:val="0"/>
          <w:sz w:val="31"/>
          <w:szCs w:val="31"/>
          <w:lang w:val="en-US" w:eastAsia="zh-CN"/>
        </w:rPr>
        <w:t>应急车辆1辆。</w:t>
      </w:r>
    </w:p>
    <w:p w14:paraId="4B08D4E7">
      <w:pPr>
        <w:spacing w:before="225" w:line="443" w:lineRule="exact"/>
        <w:jc w:val="center"/>
        <w:outlineLvl w:val="0"/>
        <w:rPr>
          <w:rFonts w:hint="eastAsia" w:ascii="黑体" w:hAnsi="黑体" w:eastAsia="黑体" w:cs="黑体"/>
          <w:spacing w:val="5"/>
          <w:position w:val="-2"/>
          <w:sz w:val="44"/>
          <w:szCs w:val="44"/>
        </w:rPr>
      </w:pPr>
      <w:r>
        <w:rPr>
          <w:rFonts w:hint="eastAsia" w:ascii="黑体" w:hAnsi="黑体" w:eastAsia="黑体" w:cs="黑体"/>
          <w:spacing w:val="5"/>
          <w:position w:val="-2"/>
          <w:sz w:val="44"/>
          <w:szCs w:val="44"/>
        </w:rPr>
        <w:t>第四部分</w:t>
      </w:r>
      <w:r>
        <w:rPr>
          <w:rFonts w:hint="eastAsia" w:ascii="黑体" w:hAnsi="黑体" w:eastAsia="黑体" w:cs="黑体"/>
          <w:spacing w:val="5"/>
          <w:position w:val="-2"/>
          <w:sz w:val="44"/>
          <w:szCs w:val="44"/>
          <w:lang w:val="en-US" w:eastAsia="zh-CN"/>
        </w:rPr>
        <w:t xml:space="preserve">  </w:t>
      </w:r>
      <w:r>
        <w:rPr>
          <w:rFonts w:hint="eastAsia" w:ascii="黑体" w:hAnsi="黑体" w:eastAsia="黑体" w:cs="黑体"/>
          <w:spacing w:val="5"/>
          <w:position w:val="-2"/>
          <w:sz w:val="44"/>
          <w:szCs w:val="44"/>
        </w:rPr>
        <w:t>名词解释</w:t>
      </w:r>
    </w:p>
    <w:p w14:paraId="704FEB6A">
      <w:pPr>
        <w:pStyle w:val="2"/>
        <w:keepNext w:val="0"/>
        <w:keepLines w:val="0"/>
        <w:pageBreakBefore w:val="0"/>
        <w:kinsoku/>
        <w:wordWrap/>
        <w:overflowPunct/>
        <w:topLinePunct w:val="0"/>
        <w:autoSpaceDE w:val="0"/>
        <w:autoSpaceDN w:val="0"/>
        <w:bidi w:val="0"/>
        <w:adjustRightInd w:val="0"/>
        <w:snapToGrid w:val="0"/>
        <w:spacing w:line="560" w:lineRule="exact"/>
        <w:ind w:left="0" w:right="0" w:firstLine="420" w:firstLineChars="200"/>
        <w:jc w:val="both"/>
        <w:textAlignment w:val="baseline"/>
        <w:rPr>
          <w:spacing w:val="0"/>
          <w:position w:val="0"/>
        </w:rPr>
      </w:pPr>
    </w:p>
    <w:p w14:paraId="1DFAEF02">
      <w:pPr>
        <w:keepNext w:val="0"/>
        <w:keepLines w:val="0"/>
        <w:pageBreakBefore w:val="0"/>
        <w:kinsoku/>
        <w:wordWrap/>
        <w:overflowPunct/>
        <w:topLinePunct w:val="0"/>
        <w:autoSpaceDE w:val="0"/>
        <w:autoSpaceDN w:val="0"/>
        <w:bidi w:val="0"/>
        <w:adjustRightInd w:val="0"/>
        <w:snapToGrid w:val="0"/>
        <w:spacing w:line="560" w:lineRule="exact"/>
        <w:ind w:left="0" w:right="0" w:firstLine="622" w:firstLineChars="200"/>
        <w:jc w:val="both"/>
        <w:textAlignment w:val="baseline"/>
        <w:rPr>
          <w:rFonts w:ascii="仿宋" w:hAnsi="仿宋" w:eastAsia="仿宋" w:cs="仿宋"/>
          <w:spacing w:val="0"/>
          <w:position w:val="0"/>
          <w:sz w:val="31"/>
          <w:szCs w:val="31"/>
        </w:rPr>
      </w:pPr>
      <w:r>
        <w:rPr>
          <w:rFonts w:ascii="仿宋" w:hAnsi="仿宋" w:eastAsia="仿宋" w:cs="仿宋"/>
          <w:b/>
          <w:bCs/>
          <w:spacing w:val="0"/>
          <w:position w:val="0"/>
          <w:sz w:val="31"/>
          <w:szCs w:val="31"/>
        </w:rPr>
        <w:t>一、财政拨款收入：</w:t>
      </w:r>
      <w:r>
        <w:rPr>
          <w:rFonts w:ascii="仿宋" w:hAnsi="仿宋" w:eastAsia="仿宋" w:cs="仿宋"/>
          <w:spacing w:val="0"/>
          <w:position w:val="0"/>
          <w:sz w:val="31"/>
          <w:szCs w:val="31"/>
        </w:rPr>
        <w:t>指单位从同级财政部门取得的财政预算资金。</w:t>
      </w:r>
    </w:p>
    <w:p w14:paraId="5566C111">
      <w:pPr>
        <w:keepNext w:val="0"/>
        <w:keepLines w:val="0"/>
        <w:pageBreakBefore w:val="0"/>
        <w:kinsoku/>
        <w:wordWrap/>
        <w:overflowPunct/>
        <w:topLinePunct w:val="0"/>
        <w:autoSpaceDE w:val="0"/>
        <w:autoSpaceDN w:val="0"/>
        <w:bidi w:val="0"/>
        <w:adjustRightInd w:val="0"/>
        <w:snapToGrid w:val="0"/>
        <w:spacing w:line="560" w:lineRule="exact"/>
        <w:ind w:left="0" w:right="0" w:firstLine="622" w:firstLineChars="200"/>
        <w:jc w:val="both"/>
        <w:textAlignment w:val="baseline"/>
        <w:rPr>
          <w:rFonts w:ascii="仿宋" w:hAnsi="仿宋" w:eastAsia="仿宋" w:cs="仿宋"/>
          <w:spacing w:val="0"/>
          <w:position w:val="0"/>
          <w:sz w:val="31"/>
          <w:szCs w:val="31"/>
        </w:rPr>
      </w:pPr>
      <w:r>
        <w:rPr>
          <w:rFonts w:hint="eastAsia" w:ascii="仿宋" w:hAnsi="仿宋" w:eastAsia="仿宋" w:cs="仿宋"/>
          <w:b/>
          <w:bCs/>
          <w:spacing w:val="0"/>
          <w:position w:val="0"/>
          <w:sz w:val="31"/>
          <w:szCs w:val="31"/>
          <w:lang w:val="en-US" w:eastAsia="zh-CN"/>
        </w:rPr>
        <w:t>二</w:t>
      </w:r>
      <w:r>
        <w:rPr>
          <w:rFonts w:ascii="仿宋" w:hAnsi="仿宋" w:eastAsia="仿宋" w:cs="仿宋"/>
          <w:b/>
          <w:bCs/>
          <w:spacing w:val="0"/>
          <w:position w:val="0"/>
          <w:sz w:val="31"/>
          <w:szCs w:val="31"/>
        </w:rPr>
        <w:t>、其他收入：</w:t>
      </w:r>
      <w:r>
        <w:rPr>
          <w:rFonts w:ascii="仿宋" w:hAnsi="仿宋" w:eastAsia="仿宋" w:cs="仿宋"/>
          <w:spacing w:val="0"/>
          <w:position w:val="0"/>
          <w:sz w:val="31"/>
          <w:szCs w:val="31"/>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14:paraId="323BF523">
      <w:pPr>
        <w:keepNext w:val="0"/>
        <w:keepLines w:val="0"/>
        <w:pageBreakBefore w:val="0"/>
        <w:kinsoku/>
        <w:wordWrap/>
        <w:overflowPunct/>
        <w:topLinePunct w:val="0"/>
        <w:autoSpaceDE w:val="0"/>
        <w:autoSpaceDN w:val="0"/>
        <w:bidi w:val="0"/>
        <w:adjustRightInd w:val="0"/>
        <w:snapToGrid w:val="0"/>
        <w:spacing w:line="560" w:lineRule="exact"/>
        <w:ind w:left="0" w:right="0" w:firstLine="622" w:firstLineChars="200"/>
        <w:jc w:val="both"/>
        <w:textAlignment w:val="baseline"/>
        <w:rPr>
          <w:rFonts w:ascii="仿宋" w:hAnsi="仿宋" w:eastAsia="仿宋" w:cs="仿宋"/>
          <w:spacing w:val="0"/>
          <w:position w:val="0"/>
          <w:sz w:val="31"/>
          <w:szCs w:val="31"/>
        </w:rPr>
      </w:pPr>
      <w:r>
        <w:rPr>
          <w:rFonts w:hint="eastAsia" w:ascii="仿宋" w:hAnsi="仿宋" w:eastAsia="仿宋" w:cs="仿宋"/>
          <w:b/>
          <w:bCs/>
          <w:spacing w:val="0"/>
          <w:position w:val="0"/>
          <w:sz w:val="31"/>
          <w:szCs w:val="31"/>
          <w:lang w:val="en-US" w:eastAsia="zh-CN"/>
        </w:rPr>
        <w:t>三</w:t>
      </w:r>
      <w:r>
        <w:rPr>
          <w:rFonts w:ascii="仿宋" w:hAnsi="仿宋" w:eastAsia="仿宋" w:cs="仿宋"/>
          <w:b/>
          <w:bCs/>
          <w:spacing w:val="0"/>
          <w:position w:val="0"/>
          <w:sz w:val="31"/>
          <w:szCs w:val="31"/>
        </w:rPr>
        <w:t>、使用非财政拨款结余（含专用结余）：</w:t>
      </w:r>
      <w:r>
        <w:rPr>
          <w:rFonts w:ascii="仿宋" w:hAnsi="仿宋" w:eastAsia="仿宋" w:cs="仿宋"/>
          <w:spacing w:val="0"/>
          <w:position w:val="0"/>
          <w:sz w:val="31"/>
          <w:szCs w:val="31"/>
        </w:rPr>
        <w:t>指事业单位按照预算管理要求使用非财政拨款结余弥补收支差额的金额，以及使用专用结余安排支出的金额。</w:t>
      </w:r>
    </w:p>
    <w:p w14:paraId="54BC6693">
      <w:pPr>
        <w:keepNext w:val="0"/>
        <w:keepLines w:val="0"/>
        <w:pageBreakBefore w:val="0"/>
        <w:kinsoku/>
        <w:wordWrap/>
        <w:overflowPunct/>
        <w:topLinePunct w:val="0"/>
        <w:autoSpaceDE w:val="0"/>
        <w:autoSpaceDN w:val="0"/>
        <w:bidi w:val="0"/>
        <w:adjustRightInd w:val="0"/>
        <w:snapToGrid w:val="0"/>
        <w:spacing w:line="560" w:lineRule="exact"/>
        <w:ind w:left="0" w:right="0" w:firstLine="622" w:firstLineChars="200"/>
        <w:jc w:val="both"/>
        <w:textAlignment w:val="baseline"/>
        <w:rPr>
          <w:rFonts w:ascii="仿宋" w:hAnsi="仿宋" w:eastAsia="仿宋" w:cs="仿宋"/>
          <w:spacing w:val="0"/>
          <w:position w:val="0"/>
          <w:sz w:val="31"/>
          <w:szCs w:val="31"/>
        </w:rPr>
      </w:pPr>
      <w:r>
        <w:rPr>
          <w:rFonts w:hint="eastAsia" w:ascii="仿宋" w:hAnsi="仿宋" w:eastAsia="仿宋" w:cs="仿宋"/>
          <w:b/>
          <w:bCs/>
          <w:spacing w:val="0"/>
          <w:position w:val="0"/>
          <w:sz w:val="31"/>
          <w:szCs w:val="31"/>
          <w:lang w:val="en-US" w:eastAsia="zh-CN"/>
        </w:rPr>
        <w:t>四</w:t>
      </w:r>
      <w:r>
        <w:rPr>
          <w:rFonts w:ascii="仿宋" w:hAnsi="仿宋" w:eastAsia="仿宋" w:cs="仿宋"/>
          <w:b/>
          <w:bCs/>
          <w:spacing w:val="0"/>
          <w:position w:val="0"/>
          <w:sz w:val="31"/>
          <w:szCs w:val="31"/>
        </w:rPr>
        <w:t>、年初结转和结余：</w:t>
      </w:r>
      <w:r>
        <w:rPr>
          <w:rFonts w:ascii="仿宋" w:hAnsi="仿宋" w:eastAsia="仿宋" w:cs="仿宋"/>
          <w:spacing w:val="0"/>
          <w:position w:val="0"/>
          <w:sz w:val="31"/>
          <w:szCs w:val="31"/>
        </w:rPr>
        <w:t>指单位以前年度尚未完成、结转到本年按有关规定用途继续使用的资金，或项目已完成等产生的结余资金。</w:t>
      </w:r>
    </w:p>
    <w:p w14:paraId="500C1F1E">
      <w:pPr>
        <w:keepNext w:val="0"/>
        <w:keepLines w:val="0"/>
        <w:pageBreakBefore w:val="0"/>
        <w:kinsoku/>
        <w:wordWrap/>
        <w:overflowPunct/>
        <w:topLinePunct w:val="0"/>
        <w:autoSpaceDE w:val="0"/>
        <w:autoSpaceDN w:val="0"/>
        <w:bidi w:val="0"/>
        <w:adjustRightInd w:val="0"/>
        <w:snapToGrid w:val="0"/>
        <w:spacing w:line="560" w:lineRule="exact"/>
        <w:ind w:right="0" w:firstLine="622" w:firstLineChars="200"/>
        <w:jc w:val="both"/>
        <w:textAlignment w:val="baseline"/>
        <w:rPr>
          <w:rFonts w:ascii="仿宋" w:hAnsi="仿宋" w:eastAsia="仿宋" w:cs="仿宋"/>
          <w:spacing w:val="0"/>
          <w:position w:val="0"/>
          <w:sz w:val="31"/>
          <w:szCs w:val="31"/>
        </w:rPr>
      </w:pPr>
      <w:r>
        <w:rPr>
          <w:rFonts w:hint="eastAsia" w:ascii="仿宋" w:hAnsi="仿宋" w:eastAsia="仿宋" w:cs="仿宋"/>
          <w:b/>
          <w:bCs/>
          <w:spacing w:val="0"/>
          <w:position w:val="0"/>
          <w:sz w:val="31"/>
          <w:szCs w:val="31"/>
          <w:lang w:val="en-US" w:eastAsia="zh-CN"/>
        </w:rPr>
        <w:t>五</w:t>
      </w:r>
      <w:r>
        <w:rPr>
          <w:rFonts w:ascii="仿宋" w:hAnsi="仿宋" w:eastAsia="仿宋" w:cs="仿宋"/>
          <w:b/>
          <w:bCs/>
          <w:spacing w:val="0"/>
          <w:position w:val="0"/>
          <w:sz w:val="31"/>
          <w:szCs w:val="31"/>
        </w:rPr>
        <w:t>、年末结转和结余：</w:t>
      </w:r>
      <w:r>
        <w:rPr>
          <w:rFonts w:ascii="仿宋" w:hAnsi="仿宋" w:eastAsia="仿宋" w:cs="仿宋"/>
          <w:spacing w:val="0"/>
          <w:position w:val="0"/>
          <w:sz w:val="31"/>
          <w:szCs w:val="31"/>
        </w:rPr>
        <w:t>指单位按有关规定结转到下年或以后年度继续使用的资金，或项目已完成等产生的结余资金。</w:t>
      </w:r>
    </w:p>
    <w:p w14:paraId="433D9B06">
      <w:pPr>
        <w:keepNext w:val="0"/>
        <w:keepLines w:val="0"/>
        <w:pageBreakBefore w:val="0"/>
        <w:kinsoku/>
        <w:wordWrap/>
        <w:overflowPunct/>
        <w:topLinePunct w:val="0"/>
        <w:autoSpaceDE w:val="0"/>
        <w:autoSpaceDN w:val="0"/>
        <w:bidi w:val="0"/>
        <w:adjustRightInd w:val="0"/>
        <w:snapToGrid w:val="0"/>
        <w:spacing w:line="560" w:lineRule="exact"/>
        <w:ind w:right="0" w:firstLine="622" w:firstLineChars="200"/>
        <w:jc w:val="both"/>
        <w:textAlignment w:val="baseline"/>
        <w:rPr>
          <w:rFonts w:ascii="仿宋" w:hAnsi="仿宋" w:eastAsia="仿宋" w:cs="仿宋"/>
          <w:spacing w:val="0"/>
          <w:position w:val="0"/>
          <w:sz w:val="31"/>
          <w:szCs w:val="31"/>
        </w:rPr>
      </w:pPr>
      <w:r>
        <w:rPr>
          <w:rFonts w:hint="eastAsia" w:ascii="仿宋" w:hAnsi="仿宋" w:eastAsia="仿宋" w:cs="仿宋"/>
          <w:b/>
          <w:bCs/>
          <w:spacing w:val="0"/>
          <w:position w:val="0"/>
          <w:sz w:val="31"/>
          <w:szCs w:val="31"/>
          <w:lang w:val="en-US" w:eastAsia="zh-CN"/>
        </w:rPr>
        <w:t>六</w:t>
      </w:r>
      <w:r>
        <w:rPr>
          <w:rFonts w:ascii="仿宋" w:hAnsi="仿宋" w:eastAsia="仿宋" w:cs="仿宋"/>
          <w:b/>
          <w:bCs/>
          <w:spacing w:val="0"/>
          <w:position w:val="0"/>
          <w:sz w:val="31"/>
          <w:szCs w:val="31"/>
        </w:rPr>
        <w:t>、基本支出：</w:t>
      </w:r>
      <w:r>
        <w:rPr>
          <w:rFonts w:ascii="仿宋" w:hAnsi="仿宋" w:eastAsia="仿宋" w:cs="仿宋"/>
          <w:spacing w:val="0"/>
          <w:position w:val="0"/>
          <w:sz w:val="31"/>
          <w:szCs w:val="31"/>
        </w:rPr>
        <w:t>指为保障机构正常运转、完成日常工作任务而发生的人员支出和公用支出。</w:t>
      </w:r>
    </w:p>
    <w:p w14:paraId="6C465CAE">
      <w:pPr>
        <w:keepNext w:val="0"/>
        <w:keepLines w:val="0"/>
        <w:pageBreakBefore w:val="0"/>
        <w:kinsoku/>
        <w:wordWrap/>
        <w:overflowPunct/>
        <w:topLinePunct w:val="0"/>
        <w:autoSpaceDE w:val="0"/>
        <w:autoSpaceDN w:val="0"/>
        <w:bidi w:val="0"/>
        <w:adjustRightInd w:val="0"/>
        <w:snapToGrid w:val="0"/>
        <w:spacing w:line="560" w:lineRule="exact"/>
        <w:ind w:right="0" w:firstLine="622" w:firstLineChars="200"/>
        <w:jc w:val="both"/>
        <w:textAlignment w:val="baseline"/>
        <w:rPr>
          <w:rFonts w:ascii="仿宋" w:hAnsi="仿宋" w:eastAsia="仿宋" w:cs="仿宋"/>
          <w:spacing w:val="0"/>
          <w:position w:val="0"/>
          <w:sz w:val="31"/>
          <w:szCs w:val="31"/>
        </w:rPr>
      </w:pPr>
      <w:r>
        <w:rPr>
          <w:rFonts w:hint="eastAsia" w:ascii="仿宋" w:hAnsi="仿宋" w:eastAsia="仿宋" w:cs="仿宋"/>
          <w:b/>
          <w:bCs/>
          <w:spacing w:val="0"/>
          <w:position w:val="0"/>
          <w:sz w:val="31"/>
          <w:szCs w:val="31"/>
          <w:lang w:val="en-US" w:eastAsia="zh-CN"/>
        </w:rPr>
        <w:t>七</w:t>
      </w:r>
      <w:r>
        <w:rPr>
          <w:rFonts w:ascii="仿宋" w:hAnsi="仿宋" w:eastAsia="仿宋" w:cs="仿宋"/>
          <w:b/>
          <w:bCs/>
          <w:spacing w:val="0"/>
          <w:position w:val="0"/>
          <w:sz w:val="31"/>
          <w:szCs w:val="31"/>
        </w:rPr>
        <w:t>、项目支出：</w:t>
      </w:r>
      <w:r>
        <w:rPr>
          <w:rFonts w:ascii="仿宋" w:hAnsi="仿宋" w:eastAsia="仿宋" w:cs="仿宋"/>
          <w:spacing w:val="0"/>
          <w:position w:val="0"/>
          <w:sz w:val="31"/>
          <w:szCs w:val="31"/>
        </w:rPr>
        <w:t>指在基本支出之外为完成特定行政任务或事业发展目标所发生的支出。</w:t>
      </w:r>
    </w:p>
    <w:p w14:paraId="67EBD785">
      <w:pPr>
        <w:keepNext w:val="0"/>
        <w:keepLines w:val="0"/>
        <w:pageBreakBefore w:val="0"/>
        <w:kinsoku/>
        <w:wordWrap/>
        <w:overflowPunct/>
        <w:topLinePunct w:val="0"/>
        <w:autoSpaceDE w:val="0"/>
        <w:autoSpaceDN w:val="0"/>
        <w:bidi w:val="0"/>
        <w:adjustRightInd w:val="0"/>
        <w:snapToGrid w:val="0"/>
        <w:spacing w:line="560" w:lineRule="exact"/>
        <w:ind w:right="0" w:firstLine="622" w:firstLineChars="200"/>
        <w:jc w:val="both"/>
        <w:textAlignment w:val="baseline"/>
        <w:rPr>
          <w:rFonts w:ascii="仿宋" w:hAnsi="仿宋" w:eastAsia="仿宋" w:cs="仿宋"/>
          <w:spacing w:val="0"/>
          <w:position w:val="0"/>
          <w:sz w:val="31"/>
          <w:szCs w:val="31"/>
        </w:rPr>
      </w:pPr>
      <w:r>
        <w:rPr>
          <w:rFonts w:hint="eastAsia" w:ascii="仿宋" w:hAnsi="仿宋" w:eastAsia="仿宋" w:cs="仿宋"/>
          <w:b/>
          <w:bCs/>
          <w:spacing w:val="0"/>
          <w:position w:val="0"/>
          <w:sz w:val="31"/>
          <w:szCs w:val="31"/>
          <w:lang w:val="en-US" w:eastAsia="zh-CN"/>
        </w:rPr>
        <w:t>八</w:t>
      </w:r>
      <w:r>
        <w:rPr>
          <w:rFonts w:ascii="仿宋" w:hAnsi="仿宋" w:eastAsia="仿宋" w:cs="仿宋"/>
          <w:b/>
          <w:bCs/>
          <w:spacing w:val="0"/>
          <w:position w:val="0"/>
          <w:sz w:val="31"/>
          <w:szCs w:val="31"/>
        </w:rPr>
        <w:t>、“三公”经费：</w:t>
      </w:r>
      <w:r>
        <w:rPr>
          <w:rFonts w:ascii="仿宋" w:hAnsi="仿宋" w:eastAsia="仿宋" w:cs="仿宋"/>
          <w:spacing w:val="0"/>
          <w:position w:val="0"/>
          <w:sz w:val="31"/>
          <w:szCs w:val="31"/>
        </w:rPr>
        <w:t>纳入省级财政预决算管理的“三公”经费，是指省级部门用财政拨款安排的因公出国（境）费、公务用车购置及运行维护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14:paraId="5173F056">
      <w:pPr>
        <w:keepNext w:val="0"/>
        <w:keepLines w:val="0"/>
        <w:pageBreakBefore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0"/>
          <w:position w:val="0"/>
          <w:sz w:val="31"/>
          <w:szCs w:val="31"/>
        </w:rPr>
        <w:sectPr>
          <w:footerReference r:id="rId17" w:type="default"/>
          <w:pgSz w:w="11907" w:h="16839"/>
          <w:pgMar w:top="1587" w:right="1587" w:bottom="1587" w:left="1587" w:header="0" w:footer="964" w:gutter="0"/>
          <w:pgNumType w:fmt="decimal"/>
          <w:cols w:space="0" w:num="1"/>
          <w:rtlGutter w:val="0"/>
          <w:docGrid w:linePitch="0" w:charSpace="0"/>
        </w:sectPr>
      </w:pPr>
    </w:p>
    <w:p w14:paraId="737AB6CB">
      <w:pPr>
        <w:keepNext w:val="0"/>
        <w:keepLines w:val="0"/>
        <w:pageBreakBefore w:val="0"/>
        <w:kinsoku/>
        <w:wordWrap/>
        <w:overflowPunct/>
        <w:topLinePunct w:val="0"/>
        <w:autoSpaceDE w:val="0"/>
        <w:autoSpaceDN w:val="0"/>
        <w:bidi w:val="0"/>
        <w:adjustRightInd w:val="0"/>
        <w:snapToGrid w:val="0"/>
        <w:spacing w:line="560" w:lineRule="exact"/>
        <w:ind w:left="0" w:right="0" w:firstLine="622" w:firstLineChars="200"/>
        <w:jc w:val="both"/>
        <w:textAlignment w:val="baseline"/>
        <w:rPr>
          <w:rFonts w:ascii="仿宋" w:hAnsi="仿宋" w:eastAsia="仿宋" w:cs="仿宋"/>
          <w:spacing w:val="0"/>
          <w:position w:val="0"/>
          <w:sz w:val="31"/>
          <w:szCs w:val="31"/>
        </w:rPr>
      </w:pPr>
      <w:r>
        <w:rPr>
          <w:rFonts w:hint="eastAsia" w:ascii="仿宋" w:hAnsi="仿宋" w:eastAsia="仿宋" w:cs="仿宋"/>
          <w:b/>
          <w:bCs/>
          <w:spacing w:val="0"/>
          <w:position w:val="0"/>
          <w:sz w:val="31"/>
          <w:szCs w:val="31"/>
          <w:lang w:val="en-US" w:eastAsia="zh-CN"/>
        </w:rPr>
        <w:t>九</w:t>
      </w:r>
      <w:r>
        <w:rPr>
          <w:rFonts w:ascii="仿宋" w:hAnsi="仿宋" w:eastAsia="仿宋" w:cs="仿宋"/>
          <w:b/>
          <w:bCs/>
          <w:spacing w:val="0"/>
          <w:position w:val="0"/>
          <w:sz w:val="31"/>
          <w:szCs w:val="31"/>
        </w:rPr>
        <w:t>、机关运行经费：</w:t>
      </w:r>
      <w:r>
        <w:rPr>
          <w:rFonts w:ascii="仿宋" w:hAnsi="仿宋" w:eastAsia="仿宋" w:cs="仿宋"/>
          <w:spacing w:val="0"/>
          <w:position w:val="0"/>
          <w:sz w:val="31"/>
          <w:szCs w:val="31"/>
        </w:rPr>
        <w:t>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12B0FD8">
      <w:pPr>
        <w:spacing w:before="249" w:line="355" w:lineRule="auto"/>
        <w:ind w:left="26" w:right="98" w:firstLine="648"/>
        <w:rPr>
          <w:rFonts w:ascii="仿宋" w:hAnsi="仿宋" w:eastAsia="仿宋" w:cs="仿宋"/>
          <w:sz w:val="31"/>
          <w:szCs w:val="31"/>
        </w:rPr>
      </w:pPr>
    </w:p>
    <w:sectPr>
      <w:footerReference r:id="rId18" w:type="default"/>
      <w:pgSz w:w="11907" w:h="16839"/>
      <w:pgMar w:top="1587" w:right="1587" w:bottom="1587" w:left="1587" w:header="0" w:footer="96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44A3">
    <w:pPr>
      <w:spacing w:line="177" w:lineRule="auto"/>
      <w:ind w:left="413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1A684">
    <w:pPr>
      <w:spacing w:line="177" w:lineRule="auto"/>
      <w:ind w:left="4090"/>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0D3A">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A763">
    <w:pPr>
      <w:spacing w:line="177" w:lineRule="auto"/>
      <w:ind w:left="408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7674B">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57674B">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70DD">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C65BF">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FEC65BF">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AD6F7">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74302">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9874302">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6331">
    <w:pPr>
      <w:spacing w:line="177" w:lineRule="auto"/>
      <w:ind w:left="411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954A">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3043">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DCE38">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BADCE38">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163B">
    <w:pPr>
      <w:spacing w:line="174" w:lineRule="auto"/>
      <w:ind w:left="4124"/>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78A3">
    <w:pPr>
      <w:spacing w:line="174"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A57C">
    <w:pPr>
      <w:spacing w:line="176" w:lineRule="auto"/>
      <w:ind w:left="4127"/>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9579">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0DD3">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902E2"/>
    <w:multiLevelType w:val="singleLevel"/>
    <w:tmpl w:val="80E902E2"/>
    <w:lvl w:ilvl="0" w:tentative="0">
      <w:start w:val="7"/>
      <w:numFmt w:val="chineseCounting"/>
      <w:suff w:val="nothing"/>
      <w:lvlText w:val="%1、"/>
      <w:lvlJc w:val="left"/>
      <w:rPr>
        <w:rFonts w:hint="eastAsia"/>
      </w:rPr>
    </w:lvl>
  </w:abstractNum>
  <w:abstractNum w:abstractNumId="1">
    <w:nsid w:val="979413E1"/>
    <w:multiLevelType w:val="singleLevel"/>
    <w:tmpl w:val="979413E1"/>
    <w:lvl w:ilvl="0" w:tentative="0">
      <w:start w:val="2"/>
      <w:numFmt w:val="chineseCounting"/>
      <w:suff w:val="nothing"/>
      <w:lvlText w:val="%1、"/>
      <w:lvlJc w:val="left"/>
    </w:lvl>
  </w:abstractNum>
  <w:abstractNum w:abstractNumId="2">
    <w:nsid w:val="B16D366A"/>
    <w:multiLevelType w:val="singleLevel"/>
    <w:tmpl w:val="B16D366A"/>
    <w:lvl w:ilvl="0" w:tentative="0">
      <w:start w:val="1"/>
      <w:numFmt w:val="decimal"/>
      <w:lvlText w:val="%1."/>
      <w:lvlJc w:val="left"/>
      <w:pPr>
        <w:tabs>
          <w:tab w:val="left" w:pos="312"/>
        </w:tabs>
      </w:pPr>
    </w:lvl>
  </w:abstractNum>
  <w:abstractNum w:abstractNumId="3">
    <w:nsid w:val="4E6AF0A3"/>
    <w:multiLevelType w:val="singleLevel"/>
    <w:tmpl w:val="4E6AF0A3"/>
    <w:lvl w:ilvl="0" w:tentative="0">
      <w:start w:val="1"/>
      <w:numFmt w:val="decimal"/>
      <w:lvlText w:val="%1."/>
      <w:lvlJc w:val="left"/>
      <w:pPr>
        <w:tabs>
          <w:tab w:val="left" w:pos="312"/>
        </w:tabs>
        <w:ind w:left="10"/>
      </w:pPr>
    </w:lvl>
  </w:abstractNum>
  <w:abstractNum w:abstractNumId="4">
    <w:nsid w:val="66B96D27"/>
    <w:multiLevelType w:val="singleLevel"/>
    <w:tmpl w:val="66B96D27"/>
    <w:lvl w:ilvl="0" w:tentative="0">
      <w:start w:val="8"/>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lmODY3NGE5ZDJkNDA2MWIwN2I3ZDQ1NzA0YzQ5M2QifQ=="/>
  </w:docVars>
  <w:rsids>
    <w:rsidRoot w:val="00000000"/>
    <w:rsid w:val="02C76ABC"/>
    <w:rsid w:val="10953800"/>
    <w:rsid w:val="179F63F6"/>
    <w:rsid w:val="1FF74CA1"/>
    <w:rsid w:val="37980099"/>
    <w:rsid w:val="5C9101E6"/>
    <w:rsid w:val="5D717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5540</Words>
  <Characters>6143</Characters>
  <TotalTime>4</TotalTime>
  <ScaleCrop>false</ScaleCrop>
  <LinksUpToDate>false</LinksUpToDate>
  <CharactersWithSpaces>6176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2024-08-20T12:29:00Z</dcterms:created>
  <dc:creator>王志强</dc:creator>
  <cp:lastModifiedBy>皮卡～～丘</cp:lastModifiedBy>
  <dcterms:modified xsi:type="dcterms:W3CDTF">2024-09-18T06:40:59Z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2024-08-20T12:29:24Z</vt:filetime>
  </property>
  <property fmtid="{D5CDD505-2E9C-101B-9397-08002B2CF9AE}" pid="4" name="KSOProductBuildVer">
    <vt:lpwstr>2052-12.1.0.17857</vt:lpwstr>
  </property>
  <property fmtid="{D5CDD505-2E9C-101B-9397-08002B2CF9AE}" pid="5" name="ICV">
    <vt:lpwstr>A16F532729684174A4B0AE979C7491A6_13</vt:lpwstr>
  </property>
</Properties>
</file>