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80" w:line="219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附件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</w:rPr>
        <w:t>1：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>
      <w:pPr>
        <w:pStyle w:val="2"/>
        <w:spacing w:line="477" w:lineRule="auto"/>
      </w:pPr>
    </w:p>
    <w:p>
      <w:pPr>
        <w:spacing w:before="189" w:line="181" w:lineRule="auto"/>
        <w:ind w:left="1099"/>
        <w:jc w:val="center"/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德惠市科学技术协会（汇总）</w:t>
      </w:r>
    </w:p>
    <w:p>
      <w:pPr>
        <w:spacing w:before="189" w:line="181" w:lineRule="auto"/>
        <w:ind w:left="1099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headerReference r:id="rId4" w:type="default"/>
          <w:footerReference r:id="rId5" w:type="default"/>
          <w:pgSz w:w="11907" w:h="16839"/>
          <w:pgMar w:top="1431" w:right="1785" w:bottom="1153" w:left="1785" w:header="0" w:footer="965" w:gutter="0"/>
          <w:pgNumType w:fmt="decimal" w:start="4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>
      <w:pPr>
        <w:pStyle w:val="2"/>
        <w:spacing w:line="347" w:lineRule="auto"/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360" w:lineRule="auto"/>
        <w:ind w:left="0" w:leftChars="0" w:right="0" w:firstLine="620" w:firstLineChars="200"/>
        <w:jc w:val="left"/>
        <w:textAlignment w:val="baseline"/>
        <w:outlineLvl w:val="9"/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德惠市科学技术协会主要职能：</w:t>
      </w:r>
      <w:r>
        <w:rPr>
          <w:rFonts w:hint="eastAsia" w:ascii="仿宋" w:hAnsi="仿宋" w:eastAsia="仿宋" w:cs="仿宋"/>
          <w:sz w:val="31"/>
          <w:szCs w:val="31"/>
        </w:rPr>
        <w:t>1、承担科学技术普及、宣传和培训工作。推广先进技术，开展青少年科学技术普及教育活动。 2、开展科学技术咨询服务，促进科学技术成果的转化；参与专业技术资格评审和认证等任务。3、反应科学技术工作者的建议、意见和诉求，维护科学技术工作者的合法权益。开展学术交流，促进学术道德建设和学风建设。</w:t>
      </w:r>
    </w:p>
    <w:p>
      <w:pPr>
        <w:spacing w:before="25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100" w:line="360" w:lineRule="auto"/>
        <w:ind w:left="0" w:leftChars="0" w:right="0" w:firstLine="620" w:firstLineChars="200"/>
        <w:jc w:val="left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根根据上述职责，德惠市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，内设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个机构，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分别为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办公室和科普部及学术学会部。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40" w:firstLineChars="200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纳入德惠市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022</w:t>
      </w:r>
      <w:r>
        <w:rPr>
          <w:rFonts w:hint="eastAsia" w:ascii="仿宋" w:hAnsi="仿宋" w:eastAsia="仿宋" w:cs="仿宋"/>
          <w:sz w:val="31"/>
          <w:szCs w:val="31"/>
        </w:rPr>
        <w:t>年度部门决算编制范围的单位包括：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40" w:firstLineChars="200"/>
        <w:textAlignment w:val="baseline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1.德惠市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科学技术协会</w:t>
      </w:r>
      <w:r>
        <w:rPr>
          <w:rFonts w:hint="eastAsia" w:ascii="仿宋" w:hAnsi="仿宋" w:eastAsia="仿宋" w:cs="仿宋"/>
          <w:sz w:val="31"/>
          <w:szCs w:val="31"/>
        </w:rPr>
        <w:t>本级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2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2023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编制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6人，</w:t>
      </w:r>
      <w:r>
        <w:rPr>
          <w:rFonts w:hint="eastAsia" w:ascii="仿宋" w:hAnsi="仿宋" w:eastAsia="仿宋" w:cs="仿宋"/>
          <w:sz w:val="31"/>
          <w:szCs w:val="31"/>
        </w:rPr>
        <w:t>其中：在职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实有</w:t>
      </w:r>
      <w:r>
        <w:rPr>
          <w:rFonts w:hint="eastAsia" w:ascii="仿宋" w:hAnsi="仿宋" w:eastAsia="仿宋" w:cs="仿宋"/>
          <w:sz w:val="31"/>
          <w:szCs w:val="31"/>
        </w:rPr>
        <w:t>人员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z w:val="31"/>
          <w:szCs w:val="31"/>
        </w:rPr>
        <w:t>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widowControl/>
        <w:numPr>
          <w:ilvl w:val="0"/>
          <w:numId w:val="1"/>
        </w:numPr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="0" w:leftChars="0" w:right="0" w:firstLine="62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德惠市科学技术馆</w:t>
      </w:r>
    </w:p>
    <w:p>
      <w:pPr>
        <w:widowControl/>
        <w:numPr>
          <w:numId w:val="0"/>
        </w:numPr>
        <w:kinsoku w:val="0"/>
        <w:wordWrap/>
        <w:autoSpaceDE w:val="0"/>
        <w:autoSpaceDN w:val="0"/>
        <w:adjustRightInd w:val="0"/>
        <w:snapToGrid w:val="0"/>
        <w:spacing w:before="0" w:beforeLines="50" w:line="360" w:lineRule="auto"/>
        <w:ind w:leftChars="200" w:right="0"/>
        <w:jc w:val="both"/>
        <w:textAlignment w:val="baseline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2023年编制14人，其中，在职实有人员12人，退休人员8人。</w:t>
      </w: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186" w:lineRule="auto"/>
        <w:ind w:left="1142"/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>
      <w:pPr>
        <w:pStyle w:val="2"/>
        <w:spacing w:line="268" w:lineRule="auto"/>
      </w:pPr>
    </w:p>
    <w:p>
      <w:pPr>
        <w:numPr>
          <w:ilvl w:val="0"/>
          <w:numId w:val="2"/>
        </w:numPr>
        <w:spacing w:before="100" w:line="224" w:lineRule="auto"/>
        <w:ind w:left="672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收入支出决算总表</w:t>
      </w:r>
    </w:p>
    <w:p>
      <w:pPr>
        <w:spacing w:before="101" w:line="5918" w:lineRule="exact"/>
        <w:ind w:firstLine="19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3" o:spid="_x0000_s1026" type="#_x0000_t75" style="position:absolute;left:0;margin-left:2.95pt;margin-top:19.45pt;height:251.55pt;width:416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</w:p>
    <w:p>
      <w:pPr>
        <w:numPr>
          <w:ilvl w:val="0"/>
          <w:numId w:val="2"/>
        </w:numPr>
        <w:spacing w:before="101" w:line="224" w:lineRule="auto"/>
        <w:ind w:left="672" w:leftChars="0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收入决算表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1" w:line="224" w:lineRule="auto"/>
        <w:jc w:val="left"/>
        <w:textAlignment w:val="baseline"/>
      </w:pPr>
    </w:p>
    <w:p>
      <w:pPr>
        <w:spacing w:before="151" w:line="5818" w:lineRule="exact"/>
        <w:ind w:firstLine="240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5" o:spid="_x0000_s1027" type="#_x0000_t75" style="position:absolute;left:0;margin-left:0pt;margin-top:8.7pt;height:278.05pt;width:416.7pt;rotation:0f;z-index:251663360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</w:p>
    <w:p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7" o:spid="_x0000_s1028" type="#_x0000_t75" style="height:291.8pt;width:416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339" w:lineRule="auto"/>
      </w:pPr>
    </w:p>
    <w:p>
      <w:pPr>
        <w:spacing w:before="101" w:line="224" w:lineRule="auto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>
      <w:pPr>
        <w:pStyle w:val="2"/>
        <w:spacing w:line="245" w:lineRule="auto"/>
      </w:pPr>
    </w:p>
    <w:p>
      <w:pPr>
        <w:spacing w:line="4378" w:lineRule="exact"/>
        <w:ind w:firstLine="1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19" o:spid="_x0000_s1029" type="#_x0000_t75" style="position:absolute;left:0;margin-left:-0.05pt;margin-top:11pt;height:216.6pt;width:416.2pt;rotation:0f;z-index:251664384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</v:shape>
        </w:pict>
      </w: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4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>
      <w:pPr>
        <w:spacing w:before="229" w:line="4102" w:lineRule="exact"/>
        <w:ind w:firstLine="14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1" o:spid="_x0000_s1030" type="#_x0000_t75" style="position:absolute;left:0;margin-left:2.95pt;margin-top:21.6pt;height:268.65pt;width:416.3pt;rotation:0f;z-index:251665408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</v:shape>
        </w:pic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line="361" w:lineRule="auto"/>
        <w:rPr>
          <w:rFonts w:ascii="仿宋" w:hAnsi="仿宋" w:eastAsia="仿宋" w:cs="仿宋"/>
          <w:sz w:val="31"/>
          <w:szCs w:val="31"/>
        </w:rPr>
      </w:pPr>
    </w:p>
    <w:p>
      <w:pPr>
        <w:pStyle w:val="2"/>
        <w:spacing w:line="339" w:lineRule="auto"/>
      </w:pPr>
    </w:p>
    <w:p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六、一般公共预算财政拨款基本支出决算明细表</w:t>
      </w:r>
    </w:p>
    <w:p>
      <w:pPr>
        <w:spacing w:before="234" w:line="5964" w:lineRule="exact"/>
        <w:ind w:firstLine="237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3" o:spid="_x0000_s1031" type="#_x0000_t75" style="height:245.3pt;width:416.35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270" w:lineRule="auto"/>
      </w:pPr>
    </w:p>
    <w:p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40" w:lineRule="auto"/>
      </w:pPr>
    </w:p>
    <w:p>
      <w:pPr>
        <w:numPr>
          <w:ilvl w:val="0"/>
          <w:numId w:val="3"/>
        </w:num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政府性基金预算财政拨款收入支出决算表</w:t>
      </w:r>
    </w:p>
    <w:p>
      <w:pPr>
        <w:numPr>
          <w:numId w:val="0"/>
        </w:numPr>
        <w:spacing w:before="101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235" w:line="4714" w:lineRule="exact"/>
        <w:ind w:firstLine="240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5" o:spid="_x0000_s1032" type="#_x0000_t75" style="height:206.4pt;width:416.7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>
      <w:pPr>
        <w:spacing w:before="182" w:line="4817" w:lineRule="exact"/>
        <w:ind w:firstLine="28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6" o:spid="_x0000_s1033" type="#_x0000_t75" style="position:absolute;left:0;margin-left:-0.85pt;margin-top:27.15pt;height:233.85pt;width:416.25pt;rotation:0f;z-index:251666432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</v:shape>
        </w:pic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5"/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</w:t>
      </w:r>
    </w:p>
    <w:p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28" o:spid="_x0000_s1034" type="#_x0000_t75" style="height:148.75pt;width:416.75pt;rotation:0f;" o:ole="f" fillcolor="#FFFFFF" filled="f" o:preferrelative="t" stroked="f" coordorigin="0,0" coordsize="21600,21600">
            <v:fill on="f" color2="#FFFFFF" focus="0%"/>
            <v:imagedata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30"/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>
      <w:pPr>
        <w:spacing w:line="9847" w:lineRule="exact"/>
        <w:sectPr>
          <w:footerReference r:id="rId10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图片 41" o:spid="_x0000_s1035" type="#_x0000_t75" style="height:321.15pt;width:416.4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48" w:line="362" w:lineRule="auto"/>
        <w:ind w:left="36" w:right="113" w:firstLine="634"/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年度收、支总计均为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万元。与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年度相比，收、支总计各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78.98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33.6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。主</w:t>
      </w:r>
      <w:r>
        <w:rPr>
          <w:rFonts w:ascii="仿宋" w:hAnsi="仿宋" w:eastAsia="仿宋" w:cs="仿宋"/>
          <w:spacing w:val="-10"/>
          <w:sz w:val="31"/>
          <w:szCs w:val="31"/>
        </w:rPr>
        <w:t>要原因：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项目增加。</w:t>
      </w:r>
    </w:p>
    <w:p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52" w:line="356" w:lineRule="auto"/>
        <w:ind w:right="8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万元，其中：财政拨款收入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78.98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33.6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项目增加。</w:t>
      </w:r>
    </w:p>
    <w:p>
      <w:pPr>
        <w:spacing w:before="158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 xml:space="preserve">    </w:t>
      </w: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51" w:line="368" w:lineRule="auto"/>
        <w:ind w:left="21" w:firstLine="645"/>
      </w:pPr>
      <w:r>
        <w:rPr>
          <w:rFonts w:ascii="仿宋" w:hAnsi="仿宋" w:eastAsia="仿宋" w:cs="仿宋"/>
          <w:spacing w:val="4"/>
          <w:sz w:val="31"/>
          <w:szCs w:val="31"/>
        </w:rPr>
        <w:t>本年支出合计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万元，其中：基本支出</w:t>
      </w:r>
      <w:r>
        <w:rPr>
          <w:rFonts w:hint="eastAsia" w:ascii="仿宋" w:hAnsi="仿宋" w:eastAsia="仿宋" w:cs="仿宋"/>
          <w:spacing w:val="24"/>
          <w:sz w:val="31"/>
          <w:szCs w:val="31"/>
          <w:lang w:val="en-US" w:eastAsia="zh-CN"/>
        </w:rPr>
        <w:t>210.42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比上年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21.75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增长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11.35</w:t>
      </w:r>
      <w:r>
        <w:rPr>
          <w:rFonts w:ascii="宋体" w:hAnsi="宋体" w:eastAsia="宋体" w:cs="宋体"/>
          <w:spacing w:val="7"/>
          <w:sz w:val="31"/>
          <w:szCs w:val="31"/>
        </w:rPr>
        <w:t>%</w:t>
      </w:r>
      <w:r>
        <w:rPr>
          <w:rFonts w:ascii="仿宋" w:hAnsi="仿宋" w:eastAsia="仿宋" w:cs="仿宋"/>
          <w:spacing w:val="7"/>
          <w:sz w:val="31"/>
          <w:szCs w:val="31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基本支出经费增加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项目支</w:t>
      </w:r>
      <w:r>
        <w:rPr>
          <w:rFonts w:ascii="仿宋" w:hAnsi="仿宋" w:eastAsia="仿宋" w:cs="仿宋"/>
          <w:spacing w:val="3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47"/>
          <w:sz w:val="31"/>
          <w:szCs w:val="31"/>
          <w:lang w:val="en-US" w:eastAsia="zh-CN"/>
        </w:rPr>
        <w:t>103.65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57.23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123.3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</w:t>
      </w:r>
      <w:r>
        <w:rPr>
          <w:rFonts w:ascii="仿宋" w:hAnsi="仿宋" w:eastAsia="仿宋" w:cs="仿宋"/>
          <w:spacing w:val="-2"/>
          <w:sz w:val="31"/>
          <w:szCs w:val="31"/>
        </w:rPr>
        <w:t>要是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项目经费增加。</w:t>
      </w: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48" w:line="362" w:lineRule="auto"/>
        <w:ind w:left="23" w:right="86" w:firstLine="648"/>
      </w:pPr>
      <w:r>
        <w:rPr>
          <w:rFonts w:ascii="宋体" w:hAnsi="宋体" w:eastAsia="宋体" w:cs="宋体"/>
          <w:spacing w:val="6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年度财政拨款收、支总计均为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5"/>
          <w:sz w:val="31"/>
          <w:szCs w:val="31"/>
        </w:rPr>
        <w:t>万元，与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2022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9"/>
          <w:sz w:val="31"/>
          <w:szCs w:val="31"/>
        </w:rPr>
        <w:t>相比，财政拨款收、支总计各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78.98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9"/>
          <w:sz w:val="31"/>
          <w:szCs w:val="31"/>
          <w:lang w:val="en-US" w:eastAsia="zh-CN"/>
        </w:rPr>
        <w:t>33.6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:</w:t>
      </w:r>
      <w:r>
        <w:rPr>
          <w:rFonts w:ascii="宋体" w:hAnsi="宋体" w:eastAsia="宋体" w:cs="宋体"/>
          <w:spacing w:val="-10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项目增加。</w:t>
      </w:r>
    </w:p>
    <w:p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>
      <w:pPr>
        <w:spacing w:before="249" w:line="223" w:lineRule="auto"/>
        <w:ind w:left="671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万元，占本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249" w:line="360" w:lineRule="auto"/>
        <w:ind w:left="0" w:leftChars="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年支</w:t>
      </w:r>
      <w:r>
        <w:rPr>
          <w:rFonts w:ascii="仿宋" w:hAnsi="仿宋" w:eastAsia="仿宋" w:cs="仿宋"/>
          <w:spacing w:val="3"/>
          <w:sz w:val="31"/>
          <w:szCs w:val="31"/>
        </w:rPr>
        <w:t>出合计的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。与</w:t>
      </w:r>
      <w:r>
        <w:rPr>
          <w:rFonts w:ascii="宋体" w:hAnsi="宋体" w:eastAsia="宋体" w:cs="宋体"/>
          <w:spacing w:val="3"/>
          <w:sz w:val="31"/>
          <w:szCs w:val="31"/>
        </w:rPr>
        <w:t>2022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年度相比，一般公共预算财政拨款支</w:t>
      </w:r>
      <w:r>
        <w:rPr>
          <w:rFonts w:ascii="仿宋" w:hAnsi="仿宋" w:eastAsia="仿宋" w:cs="仿宋"/>
          <w:spacing w:val="-1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78.98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33.6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。主要原因：</w:t>
      </w:r>
      <w:r>
        <w:rPr>
          <w:rFonts w:hint="eastAsia" w:ascii="仿宋" w:hAnsi="仿宋" w:eastAsia="仿宋" w:cs="仿宋"/>
          <w:spacing w:val="-53"/>
          <w:sz w:val="31"/>
          <w:szCs w:val="31"/>
          <w:lang w:eastAsia="zh-CN"/>
        </w:rPr>
        <w:t>项目增加。</w:t>
      </w:r>
    </w:p>
    <w:p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>
      <w:pPr>
        <w:spacing w:before="251" w:line="364" w:lineRule="auto"/>
        <w:ind w:left="68" w:right="7" w:firstLine="6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年度一般公共预算财政拨款支出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>万元，主要用于</w:t>
      </w:r>
      <w:r>
        <w:rPr>
          <w:rFonts w:ascii="仿宋" w:hAnsi="仿宋" w:eastAsia="仿宋" w:cs="仿宋"/>
          <w:spacing w:val="-6"/>
          <w:sz w:val="31"/>
          <w:szCs w:val="31"/>
        </w:rPr>
        <w:t>以下方面：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科学技术</w:t>
      </w:r>
      <w:r>
        <w:rPr>
          <w:rFonts w:ascii="仿宋" w:hAnsi="仿宋" w:eastAsia="仿宋" w:cs="仿宋"/>
          <w:spacing w:val="-6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266.19</w:t>
      </w:r>
      <w:r>
        <w:rPr>
          <w:rFonts w:ascii="仿宋" w:hAnsi="仿宋" w:eastAsia="仿宋" w:cs="仿宋"/>
          <w:spacing w:val="-6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84.75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社会保障和就业</w:t>
      </w:r>
      <w:r>
        <w:rPr>
          <w:rFonts w:ascii="仿宋" w:hAnsi="仿宋" w:eastAsia="仿宋" w:cs="仿宋"/>
          <w:spacing w:val="-6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24.05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7.66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hint="eastAsia" w:ascii="宋体" w:hAnsi="宋体" w:eastAsia="宋体" w:cs="宋体"/>
          <w:spacing w:val="3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卫生健康</w:t>
      </w:r>
      <w:r>
        <w:rPr>
          <w:rFonts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10.39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3.31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住房保障</w:t>
      </w:r>
      <w:r>
        <w:rPr>
          <w:rFonts w:ascii="仿宋" w:hAnsi="仿宋" w:eastAsia="仿宋" w:cs="仿宋"/>
          <w:spacing w:val="3"/>
          <w:sz w:val="31"/>
          <w:szCs w:val="31"/>
        </w:rPr>
        <w:t>支出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13.45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，占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4.28%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>
      <w:pPr>
        <w:spacing w:before="248" w:line="357" w:lineRule="auto"/>
        <w:ind w:left="38" w:right="86" w:firstLine="63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年度一般公共预算财政拨款支出年初预算为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12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元，支出决算为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万元，完成年初预算的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。其中：</w:t>
      </w:r>
    </w:p>
    <w:p>
      <w:pPr>
        <w:spacing w:before="54" w:line="361" w:lineRule="auto"/>
        <w:ind w:left="30" w:firstLine="66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1.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科学技术支出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9"/>
          <w:sz w:val="31"/>
          <w:szCs w:val="31"/>
          <w:lang w:val="en-US" w:eastAsia="zh-CN"/>
        </w:rPr>
        <w:t>266.19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支出决算为</w:t>
      </w:r>
      <w:r>
        <w:rPr>
          <w:rFonts w:ascii="仿宋" w:hAnsi="仿宋" w:eastAsia="仿宋" w:cs="仿宋"/>
          <w:spacing w:val="58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58"/>
          <w:sz w:val="31"/>
          <w:szCs w:val="31"/>
          <w:lang w:val="en-US" w:eastAsia="zh-CN"/>
        </w:rPr>
        <w:t>266.19</w:t>
      </w:r>
      <w:r>
        <w:rPr>
          <w:rFonts w:ascii="仿宋" w:hAnsi="仿宋" w:eastAsia="仿宋" w:cs="仿宋"/>
          <w:spacing w:val="20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完成年初预算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52" w:line="322" w:lineRule="auto"/>
        <w:ind w:left="34" w:right="98" w:firstLine="636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 xml:space="preserve">2.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社会保障和就业支出</w:t>
      </w:r>
      <w:r>
        <w:rPr>
          <w:rFonts w:ascii="仿宋" w:hAnsi="仿宋" w:eastAsia="仿宋" w:cs="仿宋"/>
          <w:spacing w:val="3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24.05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24.05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</w:p>
    <w:p>
      <w:pPr>
        <w:spacing w:before="250" w:line="297" w:lineRule="auto"/>
        <w:ind w:left="34" w:right="98" w:firstLine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3.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卫生健康支出</w:t>
      </w:r>
      <w:r>
        <w:rPr>
          <w:rFonts w:ascii="仿宋" w:hAnsi="仿宋" w:eastAsia="仿宋" w:cs="仿宋"/>
          <w:sz w:val="31"/>
          <w:szCs w:val="31"/>
        </w:rPr>
        <w:t>年初预算为</w:t>
      </w:r>
      <w:r>
        <w:rPr>
          <w:rFonts w:hint="eastAsia" w:ascii="仿宋" w:hAnsi="仿宋" w:eastAsia="仿宋" w:cs="仿宋"/>
          <w:spacing w:val="57"/>
          <w:sz w:val="31"/>
          <w:szCs w:val="31"/>
          <w:lang w:val="en-US" w:eastAsia="zh-CN"/>
        </w:rPr>
        <w:t>10.39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支出决算为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10.39</w:t>
      </w:r>
      <w:r>
        <w:rPr>
          <w:rFonts w:ascii="仿宋" w:hAnsi="仿宋" w:eastAsia="仿宋" w:cs="仿宋"/>
          <w:spacing w:val="13"/>
          <w:sz w:val="31"/>
          <w:szCs w:val="31"/>
        </w:rPr>
        <w:t>万元，完成年初预算的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13"/>
          <w:sz w:val="31"/>
          <w:szCs w:val="31"/>
        </w:rPr>
        <w:t>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</w:p>
    <w:p>
      <w:pPr>
        <w:spacing w:line="297" w:lineRule="auto"/>
        <w:rPr>
          <w:rFonts w:ascii="仿宋" w:hAnsi="仿宋" w:eastAsia="仿宋" w:cs="仿宋"/>
          <w:sz w:val="31"/>
          <w:szCs w:val="31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4.住房保障支出年初预算为13.45万元，支出决算为13.45万元，完成年初预算的100%。</w:t>
      </w: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line="297" w:lineRule="auto"/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</w:p>
    <w:p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>
      <w:pPr>
        <w:spacing w:before="247" w:line="357" w:lineRule="auto"/>
        <w:ind w:left="64" w:right="96" w:firstLine="60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2023</w:t>
      </w:r>
      <w:r>
        <w:rPr>
          <w:rFonts w:ascii="仿宋" w:hAnsi="仿宋" w:eastAsia="仿宋" w:cs="仿宋"/>
          <w:spacing w:val="12"/>
          <w:sz w:val="31"/>
          <w:szCs w:val="31"/>
        </w:rPr>
        <w:t>年度一般公共预算财政拨款基本支出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314.07</w:t>
      </w:r>
      <w:r>
        <w:rPr>
          <w:rFonts w:ascii="仿宋" w:hAnsi="仿宋" w:eastAsia="仿宋" w:cs="仿宋"/>
          <w:spacing w:val="12"/>
          <w:sz w:val="31"/>
          <w:szCs w:val="31"/>
        </w:rPr>
        <w:t>万元，其</w:t>
      </w:r>
      <w:r>
        <w:rPr>
          <w:rFonts w:ascii="仿宋" w:hAnsi="仿宋" w:eastAsia="仿宋" w:cs="仿宋"/>
          <w:spacing w:val="-30"/>
          <w:sz w:val="31"/>
          <w:szCs w:val="31"/>
        </w:rPr>
        <w:t>中：</w:t>
      </w:r>
    </w:p>
    <w:p>
      <w:pPr>
        <w:spacing w:before="53" w:line="367" w:lineRule="auto"/>
        <w:ind w:left="29" w:right="98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人员经费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185.94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，主要包括：基本工资、津贴补贴、奖</w:t>
      </w:r>
      <w:r>
        <w:rPr>
          <w:rFonts w:ascii="仿宋" w:hAnsi="仿宋" w:eastAsia="仿宋" w:cs="仿宋"/>
          <w:spacing w:val="9"/>
          <w:sz w:val="31"/>
          <w:szCs w:val="31"/>
        </w:rPr>
        <w:t>金、机关事业单位基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本养老保险缴</w:t>
      </w:r>
      <w:r>
        <w:rPr>
          <w:rFonts w:ascii="仿宋" w:hAnsi="仿宋" w:eastAsia="仿宋" w:cs="仿宋"/>
          <w:spacing w:val="9"/>
          <w:sz w:val="31"/>
          <w:szCs w:val="31"/>
        </w:rPr>
        <w:t>费、职工基本医疗保险缴费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其他社会保障缴费、住房公积金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58" w:line="356" w:lineRule="auto"/>
        <w:ind w:left="39" w:right="161" w:hanging="18"/>
      </w:pPr>
      <w:r>
        <w:rPr>
          <w:rFonts w:hint="eastAsia" w:ascii="仿宋" w:hAnsi="仿宋" w:eastAsia="仿宋" w:cs="仿宋"/>
          <w:b/>
          <w:bCs/>
          <w:spacing w:val="-1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公用经费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24.48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，主要包括：办公费、</w:t>
      </w:r>
      <w:r>
        <w:rPr>
          <w:rFonts w:ascii="仿宋" w:hAnsi="仿宋" w:eastAsia="仿宋" w:cs="仿宋"/>
          <w:spacing w:val="8"/>
          <w:sz w:val="31"/>
          <w:szCs w:val="31"/>
        </w:rPr>
        <w:t>差旅</w:t>
      </w:r>
      <w:r>
        <w:rPr>
          <w:rFonts w:ascii="仿宋" w:hAnsi="仿宋" w:eastAsia="仿宋" w:cs="仿宋"/>
          <w:sz w:val="31"/>
          <w:szCs w:val="31"/>
        </w:rPr>
        <w:t>费、</w:t>
      </w:r>
      <w:r>
        <w:rPr>
          <w:rFonts w:ascii="仿宋" w:hAnsi="仿宋" w:eastAsia="仿宋" w:cs="仿宋"/>
          <w:spacing w:val="9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务用车运</w:t>
      </w:r>
      <w:r>
        <w:rPr>
          <w:rFonts w:ascii="仿宋" w:hAnsi="仿宋" w:eastAsia="仿宋" w:cs="仿宋"/>
          <w:spacing w:val="9"/>
          <w:sz w:val="31"/>
          <w:szCs w:val="31"/>
        </w:rPr>
        <w:t>行维护费、其他交通费用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</w:p>
    <w:p>
      <w:pPr>
        <w:pStyle w:val="2"/>
        <w:spacing w:line="256" w:lineRule="auto"/>
      </w:pPr>
    </w:p>
    <w:p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>
      <w:pPr>
        <w:spacing w:before="246" w:line="366" w:lineRule="auto"/>
        <w:ind w:left="38" w:firstLine="47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2023</w:t>
      </w:r>
      <w:r>
        <w:rPr>
          <w:rFonts w:ascii="仿宋" w:hAnsi="仿宋" w:eastAsia="仿宋" w:cs="仿宋"/>
          <w:spacing w:val="33"/>
          <w:sz w:val="31"/>
          <w:szCs w:val="31"/>
        </w:rPr>
        <w:t>年度政府性基金预算财政拨款年初结转和结余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万元；本年收入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-1"/>
          <w:sz w:val="31"/>
          <w:szCs w:val="31"/>
        </w:rPr>
        <w:t>，增长（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下</w:t>
      </w:r>
      <w:r>
        <w:rPr>
          <w:rFonts w:ascii="仿宋" w:hAnsi="仿宋" w:eastAsia="仿宋" w:cs="仿宋"/>
          <w:spacing w:val="3"/>
          <w:sz w:val="31"/>
          <w:szCs w:val="31"/>
        </w:rPr>
        <w:t>降）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3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-94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；本年支出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比上年增加（减少）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万元，增长（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，主要是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无；</w:t>
      </w:r>
      <w:r>
        <w:rPr>
          <w:rFonts w:ascii="仿宋" w:hAnsi="仿宋" w:eastAsia="仿宋" w:cs="仿宋"/>
          <w:spacing w:val="4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31"/>
          <w:szCs w:val="31"/>
        </w:rPr>
        <w:t>元。</w:t>
      </w:r>
    </w:p>
    <w:p>
      <w:pPr>
        <w:spacing w:before="246" w:line="366" w:lineRule="auto"/>
        <w:ind w:left="38" w:firstLine="474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hint="eastAsia" w:ascii="仿宋" w:hAnsi="仿宋" w:eastAsia="仿宋"/>
          <w:b/>
          <w:bCs/>
          <w:color w:val="auto"/>
          <w:sz w:val="32"/>
          <w:highlight w:val="none"/>
          <w:shd w:val="clear" w:color="auto" w:fill="auto"/>
          <w:lang w:val="en-US" w:eastAsia="zh-CN"/>
        </w:rPr>
        <w:t>(本单位本年度无政府性基金预算财政拨款收入支出)</w:t>
      </w:r>
    </w:p>
    <w:p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>
      <w:pPr>
        <w:spacing w:before="248" w:line="220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年度国有资本经营预算年初结转和结余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万元；</w:t>
      </w:r>
    </w:p>
    <w:p>
      <w:pPr>
        <w:spacing w:before="255" w:line="364" w:lineRule="auto"/>
        <w:ind w:left="2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 xml:space="preserve">本年收入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万元，比上年增加（减少）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>万元，增长（下降）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%</w:t>
      </w:r>
      <w:r>
        <w:rPr>
          <w:rFonts w:ascii="仿宋" w:hAnsi="仿宋" w:eastAsia="仿宋" w:cs="仿宋"/>
          <w:spacing w:val="-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主要是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1"/>
          <w:sz w:val="31"/>
          <w:szCs w:val="31"/>
        </w:rPr>
        <w:t>；本年支出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比上年增加（减少）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增长（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下降）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，主要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是无；</w:t>
      </w:r>
      <w:r>
        <w:rPr>
          <w:rFonts w:ascii="仿宋" w:hAnsi="仿宋" w:eastAsia="仿宋" w:cs="仿宋"/>
          <w:spacing w:val="5"/>
          <w:sz w:val="31"/>
          <w:szCs w:val="31"/>
        </w:rPr>
        <w:t>年末结转和结余</w:t>
      </w:r>
      <w:r>
        <w:rPr>
          <w:rFonts w:ascii="仿宋" w:hAnsi="仿宋" w:eastAsia="仿宋" w:cs="仿宋"/>
          <w:spacing w:val="4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pStyle w:val="2"/>
        <w:spacing w:line="255" w:lineRule="auto"/>
      </w:pPr>
      <w:r>
        <w:rPr>
          <w:rFonts w:hint="eastAsia" w:ascii="仿宋" w:hAnsi="仿宋" w:eastAsia="仿宋"/>
          <w:b/>
          <w:bCs/>
          <w:sz w:val="32"/>
          <w:highlight w:val="none"/>
          <w:lang w:val="en-US" w:eastAsia="zh-CN"/>
        </w:rPr>
        <w:t xml:space="preserve">   (本单位本年度无国有资本经营预算财政拨款支出)</w:t>
      </w: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一）“三公”经费财政拨款支出决算总体情况说明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249" w:line="360" w:lineRule="auto"/>
        <w:ind w:left="0" w:leftChars="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宋体" w:hAnsi="宋体" w:eastAsia="宋体" w:cs="宋体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年度“三公”经费财政拨款支出预算为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4.4</w:t>
      </w:r>
      <w:r>
        <w:rPr>
          <w:rFonts w:ascii="仿宋" w:hAnsi="仿宋" w:eastAsia="仿宋" w:cs="仿宋"/>
          <w:spacing w:val="4"/>
          <w:sz w:val="31"/>
          <w:szCs w:val="31"/>
        </w:rPr>
        <w:t>万元，支</w:t>
      </w:r>
      <w:r>
        <w:rPr>
          <w:rFonts w:ascii="仿宋" w:hAnsi="仿宋" w:eastAsia="仿宋" w:cs="仿宋"/>
          <w:spacing w:val="-1"/>
          <w:sz w:val="31"/>
          <w:szCs w:val="31"/>
        </w:rPr>
        <w:t>出决算为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4.4</w:t>
      </w:r>
      <w:r>
        <w:rPr>
          <w:rFonts w:ascii="仿宋" w:hAnsi="仿宋" w:eastAsia="仿宋" w:cs="仿宋"/>
          <w:spacing w:val="-1"/>
          <w:sz w:val="31"/>
          <w:szCs w:val="31"/>
        </w:rPr>
        <w:t>万元，完成预算的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较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2022年减少0.1万元，主要是：经费减少。</w:t>
      </w:r>
    </w:p>
    <w:p>
      <w:pPr>
        <w:spacing w:before="50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（二）“三公”经费财政拨款支出决算具体情况说明</w:t>
      </w:r>
    </w:p>
    <w:p>
      <w:pPr>
        <w:spacing w:before="248" w:line="366" w:lineRule="auto"/>
        <w:ind w:left="23" w:right="74" w:firstLine="66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因公出国（境）费预算为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宋体" w:hAnsi="宋体" w:eastAsia="宋体" w:cs="宋体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3"/>
          <w:sz w:val="31"/>
          <w:szCs w:val="31"/>
        </w:rPr>
        <w:t>支出决算为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</w:t>
      </w:r>
      <w:r>
        <w:rPr>
          <w:rFonts w:ascii="仿宋" w:hAnsi="仿宋" w:eastAsia="仿宋" w:cs="仿宋"/>
          <w:spacing w:val="2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完成预算的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；支出决算较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2022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。决算数大（小）于预算数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的主要原因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。全年共有因公出国（境）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团组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个，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因公出国（境）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人次。主要包括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57" w:line="364" w:lineRule="auto"/>
        <w:ind w:left="23" w:right="156" w:firstLine="64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2.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公务用车购置及运行费预算为 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>万元</w:t>
      </w:r>
      <w:r>
        <w:rPr>
          <w:rFonts w:ascii="仿宋" w:hAnsi="仿宋" w:eastAsia="仿宋" w:cs="仿宋"/>
          <w:spacing w:val="20"/>
          <w:sz w:val="31"/>
          <w:szCs w:val="31"/>
        </w:rPr>
        <w:t>，支出决算为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万元，完成预算的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%</w:t>
      </w:r>
      <w:r>
        <w:rPr>
          <w:rFonts w:ascii="仿宋" w:hAnsi="仿宋" w:eastAsia="仿宋" w:cs="仿宋"/>
          <w:spacing w:val="4"/>
          <w:sz w:val="31"/>
          <w:szCs w:val="31"/>
        </w:rPr>
        <w:t>；较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2022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年度增加（减少）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增长（下降）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，主要原因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。决算数大（小）于预算数</w:t>
      </w:r>
      <w:r>
        <w:rPr>
          <w:rFonts w:ascii="仿宋" w:hAnsi="仿宋" w:eastAsia="仿宋" w:cs="仿宋"/>
          <w:spacing w:val="-9"/>
          <w:sz w:val="31"/>
          <w:szCs w:val="31"/>
        </w:rPr>
        <w:t>的主要原因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9"/>
          <w:sz w:val="31"/>
          <w:szCs w:val="31"/>
        </w:rPr>
        <w:t>。其中：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="49" w:after="0" w:afterLines="100" w:line="360" w:lineRule="auto"/>
        <w:ind w:left="0" w:leftChars="0" w:right="0" w:firstLine="0" w:firstLineChars="0"/>
        <w:jc w:val="left"/>
        <w:textAlignment w:val="baseline"/>
        <w:outlineLvl w:val="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公务用车购置费支出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万元。主要是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；截至 </w:t>
      </w:r>
      <w:r>
        <w:rPr>
          <w:rFonts w:ascii="宋体" w:hAnsi="宋体" w:eastAsia="宋体" w:cs="宋体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日，公务用车保有量为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辆</w:t>
      </w:r>
      <w:r>
        <w:rPr>
          <w:rFonts w:ascii="宋体" w:hAnsi="宋体" w:eastAsia="宋体" w:cs="宋体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2"/>
          <w:sz w:val="31"/>
          <w:szCs w:val="31"/>
        </w:rPr>
        <w:t>公务用车购置数</w:t>
      </w:r>
      <w:r>
        <w:rPr>
          <w:rFonts w:ascii="仿宋" w:hAnsi="仿宋" w:eastAsia="仿宋" w:cs="仿宋"/>
          <w:spacing w:val="-15"/>
          <w:sz w:val="31"/>
          <w:szCs w:val="31"/>
        </w:rPr>
        <w:t>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辆。</w:t>
      </w:r>
    </w:p>
    <w:p>
      <w:pPr>
        <w:spacing w:before="54" w:line="22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公务用车运行维护费支出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4.4</w:t>
      </w:r>
      <w:r>
        <w:rPr>
          <w:rFonts w:ascii="仿宋" w:hAnsi="仿宋" w:eastAsia="仿宋" w:cs="仿宋"/>
          <w:spacing w:val="3"/>
          <w:sz w:val="31"/>
          <w:szCs w:val="31"/>
        </w:rPr>
        <w:t>万元，主要是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公务用车支出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14" w:bottom="1153" w:left="1785" w:header="0" w:footer="965" w:gutter="0"/>
          <w:pgNumType w:fmt="decimal"/>
          <w:cols w:space="720" w:num="1"/>
        </w:sectPr>
      </w:pPr>
    </w:p>
    <w:p>
      <w:pPr>
        <w:spacing w:before="160" w:line="364" w:lineRule="auto"/>
        <w:ind w:left="21" w:righ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公务接待费预算为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万元，支出决算为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算的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；较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2022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年度增加（减少）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 万元，增长（下降）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7"/>
          <w:sz w:val="31"/>
          <w:szCs w:val="31"/>
        </w:rPr>
        <w:t>%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主要原因是</w:t>
      </w:r>
      <w:r>
        <w:rPr>
          <w:rFonts w:hint="eastAsia" w:ascii="仿宋" w:hAnsi="仿宋" w:eastAsia="仿宋" w:cs="仿宋"/>
          <w:spacing w:val="-69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25"/>
          <w:sz w:val="31"/>
          <w:szCs w:val="31"/>
        </w:rPr>
        <w:t>。决算数大（小）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于预算数的主要原因</w:t>
      </w:r>
      <w:r>
        <w:rPr>
          <w:rFonts w:ascii="仿宋" w:hAnsi="仿宋" w:eastAsia="仿宋" w:cs="仿宋"/>
          <w:spacing w:val="-20"/>
          <w:sz w:val="31"/>
          <w:szCs w:val="31"/>
        </w:rPr>
        <w:t>是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0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20"/>
          <w:sz w:val="31"/>
          <w:szCs w:val="31"/>
        </w:rPr>
        <w:t>。其中：</w:t>
      </w:r>
    </w:p>
    <w:p>
      <w:pPr>
        <w:spacing w:before="52" w:line="361" w:lineRule="auto"/>
        <w:ind w:left="3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外事接待费支出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。全年共接</w:t>
      </w:r>
      <w:r>
        <w:rPr>
          <w:rFonts w:ascii="仿宋" w:hAnsi="仿宋" w:eastAsia="仿宋" w:cs="仿宋"/>
          <w:spacing w:val="7"/>
          <w:sz w:val="31"/>
          <w:szCs w:val="31"/>
        </w:rPr>
        <w:t>待外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事来访团组数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个、来访外宾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人次（不包括陪同人员）。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来访外宾主要包括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</w:p>
    <w:p>
      <w:pPr>
        <w:spacing w:before="53" w:line="362" w:lineRule="auto"/>
        <w:ind w:left="26" w:right="90" w:firstLine="640"/>
        <w:jc w:val="both"/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其他国内公务接待支出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万元。主要用于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无</w:t>
      </w:r>
      <w:r>
        <w:rPr>
          <w:rFonts w:ascii="仿宋" w:hAnsi="仿宋" w:eastAsia="仿宋" w:cs="仿宋"/>
          <w:spacing w:val="8"/>
          <w:sz w:val="31"/>
          <w:szCs w:val="31"/>
        </w:rPr>
        <w:t>。全年共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接待国内来访团组</w:t>
      </w:r>
      <w:r>
        <w:rPr>
          <w:rFonts w:hint="eastAsia" w:ascii="仿宋" w:hAnsi="仿宋" w:eastAsia="仿宋" w:cs="仿宋"/>
          <w:spacing w:val="3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个、来宾</w:t>
      </w:r>
      <w:r>
        <w:rPr>
          <w:rFonts w:hint="eastAsia" w:ascii="仿宋" w:hAnsi="仿宋" w:eastAsia="仿宋" w:cs="仿宋"/>
          <w:spacing w:val="3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2"/>
          <w:sz w:val="31"/>
          <w:szCs w:val="31"/>
        </w:rPr>
        <w:t>人次（不包括陪同人</w:t>
      </w:r>
      <w:r>
        <w:rPr>
          <w:rFonts w:ascii="仿宋" w:hAnsi="仿宋" w:eastAsia="仿宋" w:cs="仿宋"/>
          <w:spacing w:val="1"/>
          <w:sz w:val="31"/>
          <w:szCs w:val="31"/>
        </w:rPr>
        <w:t>员） 。</w:t>
      </w: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>
      <w:pPr>
        <w:spacing w:before="249" w:line="353" w:lineRule="auto"/>
        <w:ind w:left="23" w:right="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一）绩效评价工作开展情况。绩效评价工作开展情况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说明为：根据预算绩效管理要求，本部门组织对 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>年度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一般公共预算项目支出全面开展绩效自评，其中，一级项目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个，二级项目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个，共涉及资金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占一般公共</w:t>
      </w:r>
      <w:r>
        <w:rPr>
          <w:rFonts w:ascii="仿宋" w:hAnsi="仿宋" w:eastAsia="仿宋" w:cs="仿宋"/>
          <w:spacing w:val="6"/>
          <w:sz w:val="31"/>
          <w:szCs w:val="31"/>
        </w:rPr>
        <w:t>预算项目支出总额的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50" w:line="362" w:lineRule="auto"/>
        <w:ind w:right="10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 </w:t>
      </w:r>
      <w:r>
        <w:rPr>
          <w:rFonts w:ascii="仿宋" w:hAnsi="仿宋" w:eastAsia="仿宋" w:cs="仿宋"/>
          <w:spacing w:val="8"/>
          <w:sz w:val="31"/>
          <w:szCs w:val="31"/>
        </w:rPr>
        <w:t>组织对本部门开展整体支出绩效评价，涉及一般公共预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算支出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万元，政府性基金预算支出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万元。</w:t>
      </w:r>
    </w:p>
    <w:p>
      <w:pPr>
        <w:spacing w:before="253" w:line="356" w:lineRule="auto"/>
        <w:ind w:left="36" w:right="22" w:firstLine="622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（二）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项目绩效自评结果。除涉密敏感内容外，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省级部门原则上应予以公开。按照如下格式说明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:</w:t>
      </w:r>
    </w:p>
    <w:p>
      <w:pPr>
        <w:spacing w:before="49" w:line="366" w:lineRule="auto"/>
        <w:ind w:left="21" w:right="107" w:firstLine="641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2023年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科普经费</w:t>
      </w:r>
      <w:r>
        <w:rPr>
          <w:rFonts w:ascii="仿宋" w:hAnsi="仿宋" w:eastAsia="仿宋" w:cs="仿宋"/>
          <w:spacing w:val="8"/>
          <w:sz w:val="31"/>
          <w:szCs w:val="31"/>
        </w:rPr>
        <w:t>项目绩效自评情况：根据年初设定的绩效目</w:t>
      </w:r>
      <w:r>
        <w:rPr>
          <w:rFonts w:ascii="仿宋" w:hAnsi="仿宋" w:eastAsia="仿宋" w:cs="仿宋"/>
          <w:spacing w:val="7"/>
          <w:sz w:val="31"/>
          <w:szCs w:val="31"/>
        </w:rPr>
        <w:t>标，项目绩效自评得分为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7"/>
          <w:sz w:val="31"/>
          <w:szCs w:val="31"/>
        </w:rPr>
        <w:t>分。项目全年预算数为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31"/>
          <w:szCs w:val="31"/>
        </w:rPr>
        <w:t>万元，执行</w:t>
      </w:r>
      <w:r>
        <w:rPr>
          <w:rFonts w:ascii="仿宋" w:hAnsi="仿宋" w:eastAsia="仿宋" w:cs="仿宋"/>
          <w:spacing w:val="8"/>
          <w:sz w:val="31"/>
          <w:szCs w:val="31"/>
        </w:rPr>
        <w:t>数为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</w:t>
      </w:r>
      <w:r>
        <w:rPr>
          <w:rFonts w:ascii="仿宋" w:hAnsi="仿宋" w:eastAsia="仿宋" w:cs="仿宋"/>
          <w:spacing w:val="8"/>
          <w:sz w:val="31"/>
          <w:szCs w:val="31"/>
        </w:rPr>
        <w:t>万元，完成预算的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100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pStyle w:val="2"/>
        <w:spacing w:line="339" w:lineRule="auto"/>
      </w:pPr>
    </w:p>
    <w:p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>
      <w:pPr>
        <w:spacing w:before="248"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一）机关运行经费执行情况说明</w:t>
      </w:r>
    </w:p>
    <w:p>
      <w:pPr>
        <w:spacing w:before="251" w:line="357" w:lineRule="auto"/>
        <w:ind w:left="19" w:right="170" w:firstLine="65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2023</w:t>
      </w:r>
      <w:r>
        <w:rPr>
          <w:rFonts w:ascii="仿宋" w:hAnsi="仿宋" w:eastAsia="仿宋" w:cs="仿宋"/>
          <w:spacing w:val="7"/>
          <w:sz w:val="31"/>
          <w:szCs w:val="31"/>
        </w:rPr>
        <w:t>年度机关运行经费支出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13.54</w:t>
      </w:r>
      <w:r>
        <w:rPr>
          <w:rFonts w:ascii="仿宋" w:hAnsi="仿宋" w:eastAsia="仿宋" w:cs="仿宋"/>
          <w:spacing w:val="7"/>
          <w:sz w:val="31"/>
          <w:szCs w:val="31"/>
        </w:rPr>
        <w:t>万元，较</w:t>
      </w:r>
      <w:r>
        <w:rPr>
          <w:rFonts w:ascii="宋体" w:hAnsi="宋体" w:eastAsia="宋体" w:cs="宋体"/>
          <w:spacing w:val="7"/>
          <w:sz w:val="31"/>
          <w:szCs w:val="31"/>
        </w:rPr>
        <w:t>2022</w:t>
      </w:r>
      <w:r>
        <w:rPr>
          <w:rFonts w:ascii="仿宋" w:hAnsi="仿宋" w:eastAsia="仿宋" w:cs="仿宋"/>
          <w:spacing w:val="7"/>
          <w:sz w:val="31"/>
          <w:szCs w:val="31"/>
        </w:rPr>
        <w:t>年度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2.82</w:t>
      </w:r>
      <w:r>
        <w:rPr>
          <w:rFonts w:ascii="仿宋" w:hAnsi="仿宋" w:eastAsia="仿宋" w:cs="仿宋"/>
          <w:spacing w:val="-4"/>
          <w:sz w:val="31"/>
          <w:szCs w:val="31"/>
        </w:rPr>
        <w:t>万元，增长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26.3</w:t>
      </w:r>
      <w:r>
        <w:rPr>
          <w:rFonts w:ascii="宋体" w:hAnsi="宋体" w:eastAsia="宋体" w:cs="宋体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，主要是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公用经费增加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（二）政府采购支出情况说明</w:t>
      </w:r>
    </w:p>
    <w:p>
      <w:pPr>
        <w:spacing w:before="249" w:line="368" w:lineRule="auto"/>
        <w:ind w:left="29" w:right="24" w:firstLine="64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年度政府采购支出总额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79.85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其中：政府采购货物支出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79.85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万元、政府采购工程支出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万元、政府采购服务支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万元。授予中小企业合同金额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</w:t>
      </w:r>
      <w:r>
        <w:rPr>
          <w:rFonts w:ascii="仿宋" w:hAnsi="仿宋" w:eastAsia="仿宋" w:cs="仿宋"/>
          <w:spacing w:val="5"/>
          <w:sz w:val="31"/>
          <w:szCs w:val="31"/>
        </w:rPr>
        <w:t>总额的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，其中：授予小微企业合同金额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万元，占授予中</w:t>
      </w:r>
      <w:r>
        <w:rPr>
          <w:rFonts w:ascii="仿宋" w:hAnsi="仿宋" w:eastAsia="仿宋" w:cs="仿宋"/>
          <w:spacing w:val="8"/>
          <w:sz w:val="31"/>
          <w:szCs w:val="31"/>
        </w:rPr>
        <w:t>小企业合同金额的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；货物采购授予中小企业合同金额占货物支出金额的 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，工程采购授予中小企业合同金额占工程支出金额的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%</w:t>
      </w:r>
      <w:r>
        <w:rPr>
          <w:rFonts w:ascii="仿宋" w:hAnsi="仿宋" w:eastAsia="仿宋" w:cs="仿宋"/>
          <w:spacing w:val="8"/>
          <w:sz w:val="31"/>
          <w:szCs w:val="31"/>
        </w:rPr>
        <w:t>，服务采购授予中小企业合同金额占服务支出金</w:t>
      </w:r>
      <w:r>
        <w:rPr>
          <w:rFonts w:ascii="仿宋" w:hAnsi="仿宋" w:eastAsia="仿宋" w:cs="仿宋"/>
          <w:spacing w:val="2"/>
          <w:sz w:val="31"/>
          <w:szCs w:val="31"/>
        </w:rPr>
        <w:t>额的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。。</w:t>
      </w:r>
    </w:p>
    <w:p>
      <w:pPr>
        <w:spacing w:before="48" w:line="224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（三）国有资产占用情况说明</w:t>
      </w:r>
    </w:p>
    <w:p>
      <w:pPr>
        <w:spacing w:before="286" w:line="340" w:lineRule="auto"/>
        <w:ind w:left="2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截至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>2023</w:t>
      </w:r>
      <w:r>
        <w:rPr>
          <w:rFonts w:ascii="宋体" w:hAnsi="宋体" w:eastAsia="宋体" w:cs="宋体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宋体" w:hAnsi="宋体" w:eastAsia="宋体" w:cs="宋体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>日，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德惠市科学技术协会</w:t>
      </w:r>
      <w:r>
        <w:rPr>
          <w:rFonts w:ascii="仿宋" w:hAnsi="仿宋" w:eastAsia="仿宋" w:cs="仿宋"/>
          <w:spacing w:val="-1"/>
          <w:sz w:val="31"/>
          <w:szCs w:val="31"/>
        </w:rPr>
        <w:t>共有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车辆 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辆，其中，副部（省）级及以上领导用车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要负责人用车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辆、机要通信用车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辆、执法执勤用车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辆、特种专业技术用车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辆</w:t>
      </w:r>
      <w:r>
        <w:rPr>
          <w:rFonts w:ascii="仿宋" w:hAnsi="仿宋" w:eastAsia="仿宋" w:cs="仿宋"/>
          <w:spacing w:val="11"/>
          <w:sz w:val="31"/>
          <w:szCs w:val="31"/>
        </w:rPr>
        <w:t>、离退休</w:t>
      </w:r>
      <w:r>
        <w:rPr>
          <w:rFonts w:ascii="仿宋" w:hAnsi="仿宋" w:eastAsia="仿宋" w:cs="仿宋"/>
          <w:spacing w:val="8"/>
          <w:sz w:val="31"/>
          <w:szCs w:val="31"/>
        </w:rPr>
        <w:t>干部用车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辆、其他用车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辆，其他用车主要是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科普大篷车专用车</w:t>
      </w:r>
      <w:r>
        <w:rPr>
          <w:rFonts w:ascii="仿宋" w:hAnsi="仿宋" w:eastAsia="仿宋" w:cs="仿宋"/>
          <w:spacing w:val="8"/>
          <w:sz w:val="31"/>
          <w:szCs w:val="31"/>
        </w:rPr>
        <w:t>；单</w:t>
      </w:r>
      <w:r>
        <w:rPr>
          <w:rFonts w:ascii="仿宋" w:hAnsi="仿宋" w:eastAsia="仿宋" w:cs="仿宋"/>
          <w:spacing w:val="2"/>
          <w:sz w:val="31"/>
          <w:szCs w:val="31"/>
        </w:rPr>
        <w:t>位价值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100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万元（含）以上设备（不含车辆）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0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台（套）。</w:t>
      </w:r>
    </w:p>
    <w:p>
      <w:pPr>
        <w:spacing w:before="225" w:line="443" w:lineRule="exact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二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>
      <w:pPr>
        <w:spacing w:before="39" w:line="297" w:lineRule="auto"/>
        <w:ind w:right="15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三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五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710" w:bottom="1153" w:left="1785" w:header="0" w:footer="965" w:gutter="0"/>
          <w:pgNumType w:fmt="decimal"/>
          <w:cols w:space="720" w:num="1"/>
        </w:sectPr>
      </w:pPr>
    </w:p>
    <w:p>
      <w:pPr>
        <w:spacing w:before="155" w:line="366" w:lineRule="auto"/>
        <w:ind w:left="25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7"/>
          <w:sz w:val="31"/>
          <w:szCs w:val="31"/>
          <w:lang w:eastAsia="zh-CN"/>
        </w:rPr>
        <w:t>六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sectPr>
      <w:footerReference r:id="rId13" w:type="default"/>
      <w:pgSz w:w="11907" w:h="16839"/>
      <w:pgMar w:top="1431" w:right="1705" w:bottom="1153" w:left="1785" w:header="0" w:footer="9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6206133">
    <w:nsid w:val="66E3D0B5"/>
    <w:multiLevelType w:val="singleLevel"/>
    <w:tmpl w:val="66E3D0B5"/>
    <w:lvl w:ilvl="0" w:tentative="1">
      <w:start w:val="7"/>
      <w:numFmt w:val="chineseCounting"/>
      <w:suff w:val="nothing"/>
      <w:lvlText w:val="%1、"/>
      <w:lvlJc w:val="left"/>
    </w:lvl>
  </w:abstractNum>
  <w:abstractNum w:abstractNumId="1725855694">
    <w:nsid w:val="66DE77CE"/>
    <w:multiLevelType w:val="singleLevel"/>
    <w:tmpl w:val="66DE77CE"/>
    <w:lvl w:ilvl="0" w:tentative="1">
      <w:start w:val="1"/>
      <w:numFmt w:val="chineseCounting"/>
      <w:suff w:val="nothing"/>
      <w:lvlText w:val="%1、"/>
      <w:lvlJc w:val="left"/>
    </w:lvl>
  </w:abstractNum>
  <w:abstractNum w:abstractNumId="1726296275">
    <w:nsid w:val="66E530D3"/>
    <w:multiLevelType w:val="singleLevel"/>
    <w:tmpl w:val="66E530D3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726296275"/>
  </w:num>
  <w:num w:numId="2">
    <w:abstractNumId w:val="1725855694"/>
  </w:num>
  <w:num w:numId="3">
    <w:abstractNumId w:val="17262061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6B47B0B"/>
    <w:rsid w:val="0B942F0D"/>
    <w:rsid w:val="1BA8304D"/>
    <w:rsid w:val="1C8C6AE3"/>
    <w:rsid w:val="249E2CA0"/>
    <w:rsid w:val="37980099"/>
    <w:rsid w:val="3AC342F5"/>
    <w:rsid w:val="4FE74B20"/>
    <w:rsid w:val="55AD6B1D"/>
    <w:rsid w:val="603B28F2"/>
    <w:rsid w:val="6C312F12"/>
    <w:rsid w:val="73C542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semiHidden/>
    <w:uiPriority w:val="0"/>
    <w:rPr>
      <w:rFonts w:eastAsia="宋体"/>
      <w:sz w:val="21"/>
      <w:szCs w:val="20"/>
    </w:rPr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"/>
    <w:basedOn w:val="1"/>
    <w:link w:val="5"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uiPriority w:val="0"/>
    <w:rPr/>
  </w:style>
  <w:style w:type="table" w:customStyle="1" w:styleId="9">
    <w:name w:val="Table Normal"/>
    <w:unhideWhenUsed/>
    <w:qFormat/>
    <w:uiPriority w:val="0"/>
    <w:tblPr>
      <w:tblStyle w:val="8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tyles" Target="style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6834</Words>
  <Characters>7067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Administrator</cp:lastModifiedBy>
  <dcterms:modified xsi:type="dcterms:W3CDTF">2024-09-14T07:25:11Z</dcterms:modified>
  <dc:title>2015年度部门决算公开模板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2024-08-20T12:29:00Z</vt:filetime>
  </property>
  <property fmtid="{D5CDD505-2E9C-101B-9397-08002B2CF9AE}" pid="4" name="KSOProductBuildVer">
    <vt:lpwstr>2052-9.1.0.4940</vt:lpwstr>
  </property>
  <property fmtid="{D5CDD505-2E9C-101B-9397-08002B2CF9AE}" pid="5" name="ICV">
    <vt:lpwstr>FBF1D15304C0408A931FD05E25098327_13</vt:lpwstr>
  </property>
</Properties>
</file>