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E7C15">
      <w:pPr>
        <w:spacing w:before="180" w:line="219" w:lineRule="auto"/>
        <w:ind w:left="4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附件</w:t>
      </w:r>
      <w:r>
        <w:rPr>
          <w:rFonts w:ascii="宋体" w:hAnsi="宋体" w:eastAsia="宋体" w:cs="宋体"/>
          <w:spacing w:val="-3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1：</w:t>
      </w:r>
    </w:p>
    <w:p w14:paraId="58D398EE">
      <w:pPr>
        <w:pStyle w:val="2"/>
        <w:spacing w:line="251" w:lineRule="auto"/>
      </w:pPr>
    </w:p>
    <w:p w14:paraId="0AA01A48">
      <w:pPr>
        <w:pStyle w:val="2"/>
        <w:spacing w:line="251" w:lineRule="auto"/>
      </w:pPr>
    </w:p>
    <w:p w14:paraId="4BD20421">
      <w:pPr>
        <w:pStyle w:val="2"/>
        <w:spacing w:line="252" w:lineRule="auto"/>
      </w:pPr>
    </w:p>
    <w:p w14:paraId="70C5EED0">
      <w:pPr>
        <w:pStyle w:val="2"/>
        <w:spacing w:line="252" w:lineRule="auto"/>
      </w:pPr>
    </w:p>
    <w:p w14:paraId="6491B34C">
      <w:pPr>
        <w:pStyle w:val="2"/>
        <w:spacing w:line="252" w:lineRule="auto"/>
      </w:pPr>
    </w:p>
    <w:p w14:paraId="391BA101">
      <w:pPr>
        <w:pStyle w:val="2"/>
        <w:spacing w:line="252" w:lineRule="auto"/>
      </w:pPr>
    </w:p>
    <w:p w14:paraId="5C37A57E">
      <w:pPr>
        <w:pStyle w:val="2"/>
        <w:spacing w:line="252" w:lineRule="auto"/>
      </w:pPr>
    </w:p>
    <w:p w14:paraId="2D8CE9B6">
      <w:pPr>
        <w:pStyle w:val="2"/>
        <w:spacing w:line="252" w:lineRule="auto"/>
      </w:pPr>
    </w:p>
    <w:p w14:paraId="61119A2F">
      <w:pPr>
        <w:pStyle w:val="2"/>
        <w:spacing w:line="252" w:lineRule="auto"/>
      </w:pPr>
    </w:p>
    <w:p w14:paraId="2F95837B">
      <w:pPr>
        <w:pStyle w:val="2"/>
        <w:spacing w:line="252" w:lineRule="auto"/>
      </w:pPr>
    </w:p>
    <w:p w14:paraId="71C52748">
      <w:pPr>
        <w:pStyle w:val="2"/>
        <w:spacing w:line="252" w:lineRule="auto"/>
      </w:pPr>
    </w:p>
    <w:p w14:paraId="0E034DB0">
      <w:pPr>
        <w:pStyle w:val="2"/>
        <w:spacing w:line="252" w:lineRule="auto"/>
      </w:pPr>
    </w:p>
    <w:p w14:paraId="7DBC7E18">
      <w:pPr>
        <w:pStyle w:val="2"/>
        <w:spacing w:line="252" w:lineRule="auto"/>
      </w:pPr>
    </w:p>
    <w:p w14:paraId="62FDFCBE">
      <w:pPr>
        <w:spacing w:before="180" w:line="187" w:lineRule="auto"/>
        <w:ind w:left="3255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宋体" w:hAnsi="宋体" w:eastAsia="宋体" w:cs="宋体"/>
          <w:spacing w:val="4"/>
          <w:sz w:val="43"/>
          <w:szCs w:val="43"/>
        </w:rPr>
        <w:t>2023</w:t>
      </w:r>
      <w:r>
        <w:rPr>
          <w:rFonts w:ascii="宋体" w:hAnsi="宋体" w:eastAsia="宋体" w:cs="宋体"/>
          <w:spacing w:val="-10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"/>
          <w:sz w:val="42"/>
          <w:szCs w:val="42"/>
        </w:rPr>
        <w:t>年度</w:t>
      </w:r>
    </w:p>
    <w:p w14:paraId="7EEAD0E9">
      <w:pPr>
        <w:pStyle w:val="2"/>
        <w:spacing w:line="477" w:lineRule="auto"/>
      </w:pPr>
    </w:p>
    <w:p w14:paraId="16EEC684">
      <w:pPr>
        <w:spacing w:before="189" w:line="181" w:lineRule="auto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34"/>
          <w:sz w:val="44"/>
          <w:szCs w:val="44"/>
          <w:lang w:eastAsia="zh-CN"/>
        </w:rPr>
        <w:t>德惠市总工会</w:t>
      </w:r>
      <w:r>
        <w:rPr>
          <w:rFonts w:ascii="微软雅黑" w:hAnsi="微软雅黑" w:eastAsia="微软雅黑" w:cs="微软雅黑"/>
          <w:spacing w:val="34"/>
          <w:sz w:val="44"/>
          <w:szCs w:val="44"/>
        </w:rPr>
        <w:t>部门决算</w:t>
      </w:r>
    </w:p>
    <w:p w14:paraId="06836211">
      <w:pPr>
        <w:pStyle w:val="2"/>
        <w:spacing w:line="242" w:lineRule="auto"/>
      </w:pPr>
    </w:p>
    <w:p w14:paraId="5A1CEBA3">
      <w:pPr>
        <w:pStyle w:val="2"/>
        <w:spacing w:line="242" w:lineRule="auto"/>
      </w:pPr>
    </w:p>
    <w:p w14:paraId="338A4BB1">
      <w:pPr>
        <w:pStyle w:val="2"/>
        <w:spacing w:line="242" w:lineRule="auto"/>
      </w:pPr>
    </w:p>
    <w:p w14:paraId="67E01B41">
      <w:pPr>
        <w:pStyle w:val="2"/>
        <w:spacing w:line="242" w:lineRule="auto"/>
      </w:pPr>
    </w:p>
    <w:p w14:paraId="2B03780E">
      <w:pPr>
        <w:pStyle w:val="2"/>
        <w:spacing w:line="242" w:lineRule="auto"/>
      </w:pPr>
    </w:p>
    <w:p w14:paraId="26D43976">
      <w:pPr>
        <w:pStyle w:val="2"/>
        <w:spacing w:line="242" w:lineRule="auto"/>
      </w:pPr>
    </w:p>
    <w:p w14:paraId="30C40BC9">
      <w:pPr>
        <w:pStyle w:val="2"/>
        <w:spacing w:line="242" w:lineRule="auto"/>
      </w:pPr>
    </w:p>
    <w:p w14:paraId="6CD64A2C">
      <w:pPr>
        <w:pStyle w:val="2"/>
        <w:spacing w:line="242" w:lineRule="auto"/>
      </w:pPr>
    </w:p>
    <w:p w14:paraId="00481286">
      <w:pPr>
        <w:pStyle w:val="2"/>
        <w:spacing w:line="242" w:lineRule="auto"/>
      </w:pPr>
    </w:p>
    <w:p w14:paraId="0E090A7E">
      <w:pPr>
        <w:pStyle w:val="2"/>
        <w:spacing w:line="242" w:lineRule="auto"/>
      </w:pPr>
    </w:p>
    <w:p w14:paraId="13BCCFB4">
      <w:pPr>
        <w:pStyle w:val="2"/>
        <w:spacing w:line="242" w:lineRule="auto"/>
      </w:pPr>
    </w:p>
    <w:p w14:paraId="5EE23228">
      <w:pPr>
        <w:pStyle w:val="2"/>
        <w:spacing w:line="242" w:lineRule="auto"/>
      </w:pPr>
    </w:p>
    <w:p w14:paraId="58282225">
      <w:pPr>
        <w:pStyle w:val="2"/>
        <w:spacing w:line="242" w:lineRule="auto"/>
      </w:pPr>
    </w:p>
    <w:p w14:paraId="379FA95E">
      <w:pPr>
        <w:pStyle w:val="2"/>
        <w:spacing w:line="242" w:lineRule="auto"/>
      </w:pPr>
    </w:p>
    <w:p w14:paraId="491D2D52">
      <w:pPr>
        <w:pStyle w:val="2"/>
        <w:spacing w:line="242" w:lineRule="auto"/>
      </w:pPr>
    </w:p>
    <w:p w14:paraId="56E3B83F">
      <w:pPr>
        <w:pStyle w:val="2"/>
        <w:spacing w:line="242" w:lineRule="auto"/>
      </w:pPr>
    </w:p>
    <w:p w14:paraId="3C51559B">
      <w:pPr>
        <w:pStyle w:val="2"/>
        <w:spacing w:line="242" w:lineRule="auto"/>
      </w:pPr>
    </w:p>
    <w:p w14:paraId="34E64C4D">
      <w:pPr>
        <w:pStyle w:val="2"/>
        <w:spacing w:line="243" w:lineRule="auto"/>
      </w:pPr>
    </w:p>
    <w:p w14:paraId="7F23A983">
      <w:pPr>
        <w:pStyle w:val="2"/>
        <w:spacing w:line="243" w:lineRule="auto"/>
      </w:pPr>
    </w:p>
    <w:p w14:paraId="64E5FF67">
      <w:pPr>
        <w:pStyle w:val="2"/>
        <w:spacing w:line="243" w:lineRule="auto"/>
      </w:pPr>
    </w:p>
    <w:p w14:paraId="75E374C0">
      <w:pPr>
        <w:pStyle w:val="2"/>
        <w:spacing w:line="243" w:lineRule="auto"/>
      </w:pPr>
    </w:p>
    <w:p w14:paraId="2432B4EB">
      <w:pPr>
        <w:pStyle w:val="2"/>
        <w:spacing w:line="243" w:lineRule="auto"/>
      </w:pPr>
    </w:p>
    <w:p w14:paraId="195AC342">
      <w:pPr>
        <w:pStyle w:val="2"/>
        <w:spacing w:line="243" w:lineRule="auto"/>
      </w:pPr>
    </w:p>
    <w:p w14:paraId="6872EE1A">
      <w:pPr>
        <w:pStyle w:val="2"/>
        <w:spacing w:line="243" w:lineRule="auto"/>
      </w:pPr>
    </w:p>
    <w:p w14:paraId="55D29FD8">
      <w:pPr>
        <w:pStyle w:val="2"/>
        <w:spacing w:line="243" w:lineRule="auto"/>
      </w:pPr>
    </w:p>
    <w:p w14:paraId="04184395">
      <w:pPr>
        <w:pStyle w:val="2"/>
        <w:spacing w:line="243" w:lineRule="auto"/>
      </w:pPr>
    </w:p>
    <w:p w14:paraId="73BF763A">
      <w:pPr>
        <w:spacing w:before="101" w:line="224" w:lineRule="auto"/>
        <w:ind w:left="294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2024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3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35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-6"/>
          <w:sz w:val="31"/>
          <w:szCs w:val="31"/>
        </w:rPr>
        <w:t>日</w:t>
      </w:r>
    </w:p>
    <w:p w14:paraId="49D9A23F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5A1986C9">
      <w:pPr>
        <w:pStyle w:val="2"/>
        <w:spacing w:line="289" w:lineRule="auto"/>
      </w:pPr>
    </w:p>
    <w:p w14:paraId="5B4ECB52">
      <w:pPr>
        <w:pStyle w:val="2"/>
        <w:spacing w:line="290" w:lineRule="auto"/>
      </w:pPr>
    </w:p>
    <w:p w14:paraId="21200437">
      <w:pPr>
        <w:spacing w:before="140" w:line="223" w:lineRule="auto"/>
        <w:ind w:left="3502"/>
        <w:outlineLvl w:val="0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spacing w:val="-49"/>
          <w:sz w:val="43"/>
          <w:szCs w:val="43"/>
        </w:rPr>
        <w:t>目</w:t>
      </w:r>
      <w:r>
        <w:rPr>
          <w:rFonts w:ascii="仿宋" w:hAnsi="仿宋" w:eastAsia="仿宋" w:cs="仿宋"/>
          <w:spacing w:val="20"/>
          <w:sz w:val="43"/>
          <w:szCs w:val="43"/>
        </w:rPr>
        <w:t xml:space="preserve">   </w:t>
      </w:r>
      <w:r>
        <w:rPr>
          <w:rFonts w:ascii="仿宋" w:hAnsi="仿宋" w:eastAsia="仿宋" w:cs="仿宋"/>
          <w:spacing w:val="-49"/>
          <w:sz w:val="43"/>
          <w:szCs w:val="43"/>
        </w:rPr>
        <w:t>录</w:t>
      </w:r>
    </w:p>
    <w:p w14:paraId="581934E6">
      <w:pPr>
        <w:pStyle w:val="2"/>
        <w:spacing w:line="341" w:lineRule="auto"/>
      </w:pPr>
    </w:p>
    <w:p w14:paraId="3D0DD6CB">
      <w:pPr>
        <w:pStyle w:val="2"/>
        <w:spacing w:line="342" w:lineRule="auto"/>
      </w:pPr>
    </w:p>
    <w:p w14:paraId="6695CB2E">
      <w:pPr>
        <w:spacing w:before="101" w:line="223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第一部分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z w:val="31"/>
          <w:szCs w:val="31"/>
        </w:rPr>
        <w:t>部门概况</w:t>
      </w:r>
    </w:p>
    <w:p w14:paraId="5AAFB08B">
      <w:pPr>
        <w:spacing w:before="249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一、部门职责</w:t>
      </w:r>
    </w:p>
    <w:p w14:paraId="6197A0BA">
      <w:pPr>
        <w:spacing w:before="250" w:line="222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二、机构设置及部门决算单位构成</w:t>
      </w:r>
    </w:p>
    <w:p w14:paraId="31D243F3">
      <w:pPr>
        <w:spacing w:before="250" w:line="223" w:lineRule="auto"/>
        <w:ind w:left="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第二部分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2023</w:t>
      </w:r>
      <w:r>
        <w:rPr>
          <w:rFonts w:ascii="宋体" w:hAnsi="宋体" w:eastAsia="宋体" w:cs="宋体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年度部门决算表</w:t>
      </w:r>
    </w:p>
    <w:p w14:paraId="53D072AE">
      <w:pPr>
        <w:spacing w:before="250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一、收入支出决算总表</w:t>
      </w:r>
    </w:p>
    <w:p w14:paraId="7FF83DBF">
      <w:pPr>
        <w:spacing w:before="250" w:line="223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二、收入决算表</w:t>
      </w:r>
    </w:p>
    <w:p w14:paraId="13143F75">
      <w:pPr>
        <w:spacing w:before="249" w:line="223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三、支出决算表</w:t>
      </w:r>
    </w:p>
    <w:p w14:paraId="7C44B86A">
      <w:pPr>
        <w:spacing w:before="250" w:line="223" w:lineRule="auto"/>
        <w:ind w:lef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四、财政拨款收入支出决算总表</w:t>
      </w:r>
    </w:p>
    <w:p w14:paraId="159C4F18">
      <w:pPr>
        <w:spacing w:before="249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五、一般公共预算财政拨款支出决算表</w:t>
      </w:r>
    </w:p>
    <w:p w14:paraId="44FC79AF">
      <w:pPr>
        <w:spacing w:before="250" w:line="223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六、一般公共预算财政拨款基本支出决算明细表</w:t>
      </w:r>
    </w:p>
    <w:p w14:paraId="2FD300FB">
      <w:pPr>
        <w:spacing w:before="251" w:line="221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七、政府性基金预算财政拨款收入支出决算表</w:t>
      </w:r>
    </w:p>
    <w:p w14:paraId="1A82CACE">
      <w:pPr>
        <w:spacing w:before="252" w:line="223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八、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国有资本经营预算财政拨款支出决算表</w:t>
      </w:r>
    </w:p>
    <w:p w14:paraId="6E508C44">
      <w:pPr>
        <w:spacing w:before="249" w:line="223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九、财政拨款“三公”经费支出决算表</w:t>
      </w:r>
    </w:p>
    <w:p w14:paraId="7F679F6A">
      <w:pPr>
        <w:spacing w:before="250" w:line="223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十、部门预算项目支出绩效自评表</w:t>
      </w:r>
    </w:p>
    <w:p w14:paraId="6C26F9C4">
      <w:pPr>
        <w:spacing w:before="249" w:line="223" w:lineRule="auto"/>
        <w:ind w:left="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第三部分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2023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年度部门决算情况说明</w:t>
      </w:r>
    </w:p>
    <w:p w14:paraId="411537BB">
      <w:pPr>
        <w:spacing w:before="250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一、收入支出决算总体情况说明</w:t>
      </w:r>
    </w:p>
    <w:p w14:paraId="21FC2F6C">
      <w:pPr>
        <w:spacing w:before="250" w:line="223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二、收入决算情况说明</w:t>
      </w:r>
    </w:p>
    <w:p w14:paraId="41626B95">
      <w:pPr>
        <w:spacing w:before="250" w:line="223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三、支出决算情况说明</w:t>
      </w:r>
    </w:p>
    <w:p w14:paraId="72264539">
      <w:pPr>
        <w:spacing w:before="249" w:line="223" w:lineRule="auto"/>
        <w:ind w:lef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四、财政拨款收入支出决算总体情况说明</w:t>
      </w:r>
    </w:p>
    <w:p w14:paraId="77A92A66">
      <w:pPr>
        <w:spacing w:line="223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1E5E506C">
      <w:pPr>
        <w:spacing w:before="159" w:line="223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五、一般公共预算财政拨款支出决算情况说明</w:t>
      </w:r>
    </w:p>
    <w:p w14:paraId="753D1FFC">
      <w:pPr>
        <w:spacing w:before="249" w:line="223" w:lineRule="auto"/>
        <w:ind w:left="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六、一般公共预算财政拨款基本支出决算情况说明</w:t>
      </w:r>
    </w:p>
    <w:p w14:paraId="46B6EFD0">
      <w:pPr>
        <w:spacing w:before="250" w:line="221" w:lineRule="auto"/>
        <w:ind w:left="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七、政府性基金预算财政拨款收入支出决算情况说明</w:t>
      </w:r>
    </w:p>
    <w:p w14:paraId="48F695B0">
      <w:pPr>
        <w:spacing w:before="251" w:line="223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八、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国有资本经营预算财政拨款支出决算情况说明</w:t>
      </w:r>
    </w:p>
    <w:p w14:paraId="0DCBA84B">
      <w:pPr>
        <w:spacing w:before="250" w:line="223" w:lineRule="auto"/>
        <w:ind w:left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九、财政拨款“三公”经费支出决算情况说明</w:t>
      </w:r>
    </w:p>
    <w:p w14:paraId="02C2EE65">
      <w:pPr>
        <w:spacing w:before="249" w:line="224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十、绩效评价情况说明</w:t>
      </w:r>
    </w:p>
    <w:p w14:paraId="7A798C47">
      <w:pPr>
        <w:spacing w:before="248" w:line="223" w:lineRule="auto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十一、其他重要事项情况说明</w:t>
      </w:r>
    </w:p>
    <w:p w14:paraId="2E63ED05">
      <w:pPr>
        <w:spacing w:before="250" w:line="224" w:lineRule="auto"/>
        <w:ind w:left="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z w:val="31"/>
          <w:szCs w:val="31"/>
        </w:rPr>
        <w:t>第四部分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z w:val="31"/>
          <w:szCs w:val="31"/>
        </w:rPr>
        <w:t>名词解释</w:t>
      </w:r>
    </w:p>
    <w:p w14:paraId="33FA5557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39"/>
          <w:pgMar w:top="1431" w:right="1785" w:bottom="1153" w:left="1785" w:header="0" w:footer="965" w:gutter="0"/>
          <w:cols w:space="720" w:num="1"/>
        </w:sectPr>
      </w:pPr>
    </w:p>
    <w:p w14:paraId="0469D19A">
      <w:pPr>
        <w:pStyle w:val="2"/>
        <w:spacing w:line="328" w:lineRule="auto"/>
      </w:pPr>
    </w:p>
    <w:p w14:paraId="6505EBF0">
      <w:pPr>
        <w:pStyle w:val="2"/>
        <w:spacing w:line="328" w:lineRule="auto"/>
      </w:pPr>
    </w:p>
    <w:p w14:paraId="1301F50C">
      <w:pPr>
        <w:spacing w:before="189" w:line="443" w:lineRule="exact"/>
        <w:ind w:left="2215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  <w:t>第一部分</w:t>
      </w:r>
      <w:r>
        <w:rPr>
          <w:rFonts w:ascii="微软雅黑" w:hAnsi="微软雅黑" w:eastAsia="微软雅黑" w:cs="微软雅黑"/>
          <w:spacing w:val="14"/>
          <w:position w:val="-2"/>
          <w:sz w:val="44"/>
          <w:szCs w:val="44"/>
        </w:rPr>
        <w:t xml:space="preserve">   </w:t>
      </w:r>
      <w:r>
        <w:rPr>
          <w:rFonts w:ascii="微软雅黑" w:hAnsi="微软雅黑" w:eastAsia="微软雅黑" w:cs="微软雅黑"/>
          <w:spacing w:val="1"/>
          <w:position w:val="-2"/>
          <w:sz w:val="44"/>
          <w:szCs w:val="44"/>
        </w:rPr>
        <w:t>部门概况</w:t>
      </w:r>
    </w:p>
    <w:p w14:paraId="54A9D138">
      <w:pPr>
        <w:pStyle w:val="2"/>
        <w:spacing w:line="314" w:lineRule="auto"/>
      </w:pPr>
    </w:p>
    <w:p w14:paraId="4C1E7E1F">
      <w:pPr>
        <w:pStyle w:val="2"/>
        <w:spacing w:line="314" w:lineRule="auto"/>
      </w:pPr>
    </w:p>
    <w:p w14:paraId="3558D680">
      <w:pPr>
        <w:pStyle w:val="2"/>
        <w:spacing w:line="315" w:lineRule="auto"/>
      </w:pPr>
    </w:p>
    <w:p w14:paraId="4A135ECA">
      <w:pPr>
        <w:keepNext w:val="0"/>
        <w:keepLines w:val="0"/>
        <w:pageBreakBefore w:val="0"/>
        <w:wordWrap/>
        <w:overflowPunct/>
        <w:topLinePunct w:val="0"/>
        <w:bidi w:val="0"/>
        <w:spacing w:before="101" w:line="480" w:lineRule="auto"/>
        <w:ind w:left="751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一、部门主要职责</w:t>
      </w:r>
    </w:p>
    <w:p w14:paraId="34339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（一）负责基层工会组织的建设工作，最大限度地把职工组织到工会中来，同时组织动员职工积极投入经济建设主战场，发挥工人阶级主人翁作用，为经济社会发展做贡献；</w:t>
      </w:r>
    </w:p>
    <w:p w14:paraId="0B9C3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（二）在维护国家、企业整体利益的同时，代表和维护职工的合法权益，通过平等协商和集体合同制度，协调劳动关系，维护企业职工劳动权益；</w:t>
      </w:r>
    </w:p>
    <w:p w14:paraId="499EC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（三）组织职工参与本单位的民主决策、民主管理和民主监督；</w:t>
      </w:r>
    </w:p>
    <w:p w14:paraId="153BCD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（四）开展职工教育、培训，努力提高职工素质，关心职工生活，帮助职工解决困难，全心全意为职工服务；</w:t>
      </w:r>
    </w:p>
    <w:p w14:paraId="24FD3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（五）参与安全生产事故的调查处理；</w:t>
      </w:r>
    </w:p>
    <w:p w14:paraId="306AC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（六）做好劳动模范和先进工作者的评选、表彰、培养和管理工作。</w:t>
      </w:r>
    </w:p>
    <w:p w14:paraId="56DA3C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52" w:firstLineChars="20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二、机构设置及部门决算单位构成</w:t>
      </w:r>
    </w:p>
    <w:p w14:paraId="494D0A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4" w:firstLineChars="200"/>
        <w:jc w:val="left"/>
        <w:textAlignment w:val="baseline"/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</w:rPr>
        <w:t>根据上述职责，德惠市总工会为群众团体财政全额拨款行政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单位，202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年独立核算机构数1个，独立编制机构数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2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个，包括所属两个事业单位，分别为德惠市困难职工帮扶中心和德惠市工人文化宫，较上年无变化。下属的两个事业单位属于经费自理单位，故不编制决算。</w:t>
      </w:r>
    </w:p>
    <w:p w14:paraId="2474DA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20" w:firstLineChars="200"/>
        <w:jc w:val="left"/>
        <w:textAlignment w:val="baseline"/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纳入德惠市总工会20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23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年度部门决算编制范围的单位为：德惠市总工会本级。</w:t>
      </w:r>
    </w:p>
    <w:p w14:paraId="51E5D9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20" w:firstLineChars="200"/>
        <w:jc w:val="left"/>
        <w:textAlignment w:val="baseline"/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sectPr>
          <w:footerReference r:id="rId8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202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3年度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德惠市总工会年末实有人员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8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人。其中,一般公共预算财政拨款开支在职人员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7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人，离休人员1人，退休人员共计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val="en-US" w:eastAsia="zh-CN"/>
        </w:rPr>
        <w:t>29</w:t>
      </w:r>
      <w:r>
        <w:rPr>
          <w:rFonts w:hint="eastAsia" w:ascii="仿宋" w:hAnsi="仿宋" w:eastAsia="仿宋" w:cs="仿宋"/>
          <w:snapToGrid/>
          <w:kern w:val="2"/>
          <w:sz w:val="31"/>
          <w:szCs w:val="31"/>
          <w:lang w:eastAsia="zh-CN"/>
        </w:rPr>
        <w:t>人。</w:t>
      </w:r>
    </w:p>
    <w:p w14:paraId="1CCD8E68">
      <w:pPr>
        <w:pStyle w:val="2"/>
        <w:spacing w:line="328" w:lineRule="auto"/>
      </w:pPr>
    </w:p>
    <w:p w14:paraId="4E472B46">
      <w:pPr>
        <w:pStyle w:val="2"/>
        <w:spacing w:line="328" w:lineRule="auto"/>
      </w:pPr>
    </w:p>
    <w:p w14:paraId="6E7A09B4">
      <w:pPr>
        <w:spacing w:before="189" w:line="186" w:lineRule="auto"/>
        <w:ind w:left="1142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z w:val="44"/>
          <w:szCs w:val="44"/>
        </w:rPr>
        <w:t>第二部分</w:t>
      </w:r>
      <w:r>
        <w:rPr>
          <w:rFonts w:ascii="微软雅黑" w:hAnsi="微软雅黑" w:eastAsia="微软雅黑" w:cs="微软雅黑"/>
          <w:spacing w:val="111"/>
          <w:sz w:val="44"/>
          <w:szCs w:val="44"/>
        </w:rPr>
        <w:t xml:space="preserve"> </w:t>
      </w:r>
      <w:r>
        <w:rPr>
          <w:rFonts w:ascii="宋体" w:hAnsi="宋体" w:eastAsia="宋体" w:cs="宋体"/>
          <w:sz w:val="43"/>
          <w:szCs w:val="43"/>
        </w:rPr>
        <w:t>2023</w:t>
      </w:r>
      <w:r>
        <w:rPr>
          <w:rFonts w:ascii="宋体" w:hAnsi="宋体" w:eastAsia="宋体" w:cs="宋体"/>
          <w:spacing w:val="-10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z w:val="44"/>
          <w:szCs w:val="44"/>
        </w:rPr>
        <w:t>年度部门决算表</w:t>
      </w:r>
    </w:p>
    <w:p w14:paraId="4AB09565">
      <w:pPr>
        <w:pStyle w:val="2"/>
        <w:spacing w:line="268" w:lineRule="auto"/>
      </w:pPr>
    </w:p>
    <w:p w14:paraId="5332CAE6">
      <w:pPr>
        <w:pStyle w:val="2"/>
        <w:spacing w:line="268" w:lineRule="auto"/>
      </w:pPr>
    </w:p>
    <w:p w14:paraId="4E185A8D">
      <w:pPr>
        <w:pStyle w:val="2"/>
        <w:spacing w:line="268" w:lineRule="auto"/>
      </w:pPr>
    </w:p>
    <w:p w14:paraId="61602609">
      <w:pPr>
        <w:spacing w:before="100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一、收入支出决算总表</w:t>
      </w:r>
    </w:p>
    <w:p w14:paraId="4DD1E902">
      <w:pPr>
        <w:spacing w:before="101" w:line="240" w:lineRule="auto"/>
        <w:ind w:firstLine="194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90845" cy="6164580"/>
            <wp:effectExtent l="0" t="0" r="14605" b="7620"/>
            <wp:docPr id="1" name="图片 1" descr="收入支出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收入支出表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616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07E65">
      <w:pPr>
        <w:pStyle w:val="2"/>
        <w:spacing w:line="337" w:lineRule="auto"/>
      </w:pPr>
    </w:p>
    <w:p w14:paraId="20AD66D7">
      <w:pPr>
        <w:pStyle w:val="2"/>
        <w:spacing w:line="338" w:lineRule="auto"/>
      </w:pPr>
    </w:p>
    <w:p w14:paraId="66C8EF63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7" w:h="16839"/>
          <w:pgMar w:top="1431" w:right="1785" w:bottom="1150" w:left="1785" w:header="0" w:footer="965" w:gutter="0"/>
          <w:cols w:space="720" w:num="1"/>
        </w:sectPr>
      </w:pPr>
    </w:p>
    <w:p w14:paraId="25615514">
      <w:pPr>
        <w:pStyle w:val="2"/>
        <w:spacing w:line="339" w:lineRule="auto"/>
      </w:pPr>
    </w:p>
    <w:p w14:paraId="7E42E058">
      <w:pPr>
        <w:pStyle w:val="2"/>
        <w:spacing w:line="340" w:lineRule="auto"/>
      </w:pPr>
    </w:p>
    <w:p w14:paraId="59469329">
      <w:pPr>
        <w:spacing w:before="101" w:line="224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二、收入决算表</w:t>
      </w:r>
    </w:p>
    <w:p w14:paraId="6E71ED4B">
      <w:pPr>
        <w:spacing w:line="356" w:lineRule="auto"/>
        <w:rPr>
          <w:rFonts w:ascii="仿宋" w:hAnsi="仿宋" w:eastAsia="仿宋" w:cs="仿宋"/>
          <w:sz w:val="31"/>
          <w:szCs w:val="31"/>
        </w:rPr>
      </w:pPr>
    </w:p>
    <w:p w14:paraId="68C2C027">
      <w:pPr>
        <w:spacing w:line="356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0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679440" cy="6618605"/>
            <wp:effectExtent l="0" t="0" r="16510" b="10795"/>
            <wp:docPr id="3" name="图片 3" descr="收入决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收入决算表"/>
                    <pic:cNvPicPr>
                      <a:picLocks noChangeAspect="1"/>
                    </pic:cNvPicPr>
                  </pic:nvPicPr>
                  <pic:blipFill>
                    <a:blip r:embed="rId24"/>
                    <a:srcRect l="434"/>
                    <a:stretch>
                      <a:fillRect/>
                    </a:stretch>
                  </pic:blipFill>
                  <pic:spPr>
                    <a:xfrm>
                      <a:off x="0" y="0"/>
                      <a:ext cx="5679440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201C9">
      <w:pPr>
        <w:pStyle w:val="2"/>
        <w:spacing w:line="339" w:lineRule="auto"/>
      </w:pPr>
    </w:p>
    <w:p w14:paraId="22B3319E">
      <w:pPr>
        <w:pStyle w:val="2"/>
        <w:spacing w:line="340" w:lineRule="auto"/>
      </w:pPr>
    </w:p>
    <w:p w14:paraId="2E5DF5DB">
      <w:pPr>
        <w:spacing w:before="101" w:line="224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三、支出决算表</w:t>
      </w:r>
    </w:p>
    <w:p w14:paraId="4D51C465">
      <w:pPr>
        <w:spacing w:line="356" w:lineRule="auto"/>
        <w:rPr>
          <w:rFonts w:ascii="仿宋" w:hAnsi="仿宋" w:eastAsia="仿宋" w:cs="仿宋"/>
          <w:sz w:val="31"/>
          <w:szCs w:val="31"/>
        </w:rPr>
      </w:pPr>
    </w:p>
    <w:p w14:paraId="000025A3">
      <w:pPr>
        <w:spacing w:line="356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1" w:type="default"/>
          <w:pgSz w:w="11907" w:h="16839"/>
          <w:pgMar w:top="1431" w:right="1785" w:bottom="1150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579745" cy="6901180"/>
            <wp:effectExtent l="0" t="0" r="1905" b="13970"/>
            <wp:docPr id="4" name="图片 4" descr="支出决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支出决算表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61FC6">
      <w:pPr>
        <w:pStyle w:val="2"/>
        <w:spacing w:line="339" w:lineRule="auto"/>
      </w:pPr>
    </w:p>
    <w:p w14:paraId="685E151B">
      <w:pPr>
        <w:pStyle w:val="2"/>
        <w:spacing w:line="340" w:lineRule="auto"/>
      </w:pPr>
    </w:p>
    <w:p w14:paraId="37E9706E">
      <w:pPr>
        <w:spacing w:before="101" w:line="224" w:lineRule="auto"/>
        <w:ind w:left="6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四、财政拨款收入支出决算总表</w:t>
      </w:r>
    </w:p>
    <w:p w14:paraId="006C2452">
      <w:pPr>
        <w:pStyle w:val="2"/>
        <w:spacing w:line="245" w:lineRule="auto"/>
      </w:pPr>
    </w:p>
    <w:p w14:paraId="70CEE5FF">
      <w:pPr>
        <w:spacing w:line="224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2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553075" cy="7101840"/>
            <wp:effectExtent l="0" t="0" r="9525" b="3810"/>
            <wp:docPr id="5" name="图片 5" descr="财政拨款收入支出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财政拨款收入支出总表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10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88A44">
      <w:pPr>
        <w:pStyle w:val="2"/>
        <w:spacing w:line="339" w:lineRule="auto"/>
      </w:pPr>
    </w:p>
    <w:p w14:paraId="0E045277">
      <w:pPr>
        <w:pStyle w:val="2"/>
        <w:spacing w:line="339" w:lineRule="auto"/>
      </w:pPr>
    </w:p>
    <w:p w14:paraId="5E24E725">
      <w:pPr>
        <w:spacing w:before="100" w:line="224" w:lineRule="auto"/>
        <w:ind w:left="6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五、一般公共预算财政拨款支出决算表</w:t>
      </w:r>
    </w:p>
    <w:p w14:paraId="0C9D679D">
      <w:pPr>
        <w:spacing w:line="361" w:lineRule="auto"/>
        <w:rPr>
          <w:rFonts w:ascii="仿宋" w:hAnsi="仿宋" w:eastAsia="仿宋" w:cs="仿宋"/>
          <w:sz w:val="31"/>
          <w:szCs w:val="31"/>
        </w:rPr>
      </w:pPr>
    </w:p>
    <w:p w14:paraId="21182780">
      <w:pPr>
        <w:spacing w:line="361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3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681980" cy="6349365"/>
            <wp:effectExtent l="0" t="0" r="13970" b="13335"/>
            <wp:docPr id="6" name="图片 6" descr="一般公共预算财政拨款收入支出决算批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一般公共预算财政拨款收入支出决算批复表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B76F">
      <w:pPr>
        <w:pStyle w:val="2"/>
        <w:spacing w:line="339" w:lineRule="auto"/>
      </w:pPr>
    </w:p>
    <w:p w14:paraId="03A40706">
      <w:pPr>
        <w:pStyle w:val="2"/>
        <w:spacing w:line="339" w:lineRule="auto"/>
      </w:pPr>
    </w:p>
    <w:p w14:paraId="4571D34F">
      <w:pPr>
        <w:spacing w:before="100" w:line="224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六、一般公共预算财政拨款基本支出决算明细表</w:t>
      </w:r>
    </w:p>
    <w:p w14:paraId="0E004B52">
      <w:pPr>
        <w:spacing w:line="361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4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708015" cy="7552055"/>
            <wp:effectExtent l="0" t="0" r="6985" b="10795"/>
            <wp:docPr id="7" name="图片 7" descr="一般公共预算财政拨款基本支出决算明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一般公共预算财政拨款基本支出决算明细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08015" cy="75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44D8F">
      <w:pPr>
        <w:pStyle w:val="2"/>
        <w:spacing w:line="339" w:lineRule="auto"/>
        <w:rPr>
          <w:color w:val="auto"/>
        </w:rPr>
      </w:pPr>
    </w:p>
    <w:p w14:paraId="4C407C34">
      <w:pPr>
        <w:pStyle w:val="2"/>
        <w:spacing w:line="340" w:lineRule="auto"/>
      </w:pPr>
    </w:p>
    <w:p w14:paraId="5F3324A8">
      <w:pPr>
        <w:spacing w:before="101" w:line="224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七、政府性基金预算财政拨款收入支出决算表</w:t>
      </w:r>
    </w:p>
    <w:p w14:paraId="7AC978EE">
      <w:pPr>
        <w:spacing w:line="364" w:lineRule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591810" cy="4649470"/>
            <wp:effectExtent l="0" t="0" r="8890" b="17780"/>
            <wp:docPr id="9" name="图片 9" descr="政府基金收入支出决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政府基金收入支出决算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09055">
      <w:pPr>
        <w:spacing w:line="364" w:lineRule="auto"/>
        <w:rPr>
          <w:rFonts w:hint="eastAsia" w:ascii="仿宋" w:hAnsi="仿宋" w:eastAsia="仿宋" w:cs="仿宋"/>
          <w:color w:val="auto"/>
          <w:sz w:val="31"/>
          <w:szCs w:val="31"/>
          <w:lang w:eastAsia="zh-CN"/>
        </w:rPr>
        <w:sectPr>
          <w:footerReference r:id="rId15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7"/>
          <w:sz w:val="31"/>
          <w:szCs w:val="31"/>
          <w:lang w:eastAsia="zh-CN"/>
        </w:rPr>
        <w:t>注：</w:t>
      </w:r>
      <w:r>
        <w:rPr>
          <w:rFonts w:ascii="仿宋" w:hAnsi="仿宋" w:eastAsia="仿宋" w:cs="仿宋"/>
          <w:color w:val="auto"/>
          <w:spacing w:val="7"/>
          <w:sz w:val="31"/>
          <w:szCs w:val="31"/>
        </w:rPr>
        <w:t>本单位没有政府性基金预</w:t>
      </w:r>
      <w:r>
        <w:rPr>
          <w:rFonts w:ascii="仿宋" w:hAnsi="仿宋" w:eastAsia="仿宋" w:cs="仿宋"/>
          <w:color w:val="auto"/>
          <w:spacing w:val="6"/>
          <w:sz w:val="31"/>
          <w:szCs w:val="31"/>
        </w:rPr>
        <w:t>算财</w:t>
      </w:r>
      <w:r>
        <w:rPr>
          <w:rFonts w:ascii="仿宋" w:hAnsi="仿宋" w:eastAsia="仿宋" w:cs="仿宋"/>
          <w:color w:val="auto"/>
          <w:spacing w:val="4"/>
          <w:sz w:val="31"/>
          <w:szCs w:val="31"/>
        </w:rPr>
        <w:t>政拨款</w:t>
      </w:r>
      <w:r>
        <w:rPr>
          <w:rFonts w:hint="eastAsia" w:ascii="仿宋" w:hAnsi="仿宋" w:eastAsia="仿宋" w:cs="仿宋"/>
          <w:color w:val="auto"/>
          <w:spacing w:val="4"/>
          <w:sz w:val="31"/>
          <w:szCs w:val="31"/>
          <w:lang w:eastAsia="zh-CN"/>
        </w:rPr>
        <w:t>。</w:t>
      </w:r>
    </w:p>
    <w:p w14:paraId="15C452EC">
      <w:pPr>
        <w:pStyle w:val="2"/>
        <w:spacing w:line="339" w:lineRule="auto"/>
      </w:pPr>
    </w:p>
    <w:p w14:paraId="1CE1F89A">
      <w:pPr>
        <w:pStyle w:val="2"/>
        <w:spacing w:line="340" w:lineRule="auto"/>
      </w:pPr>
    </w:p>
    <w:p w14:paraId="37C3441E">
      <w:pPr>
        <w:spacing w:before="101" w:line="224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八、国有资本经营预算财政拨款支出决算表</w:t>
      </w:r>
    </w:p>
    <w:p w14:paraId="448B5A70">
      <w:pPr>
        <w:spacing w:line="364" w:lineRule="auto"/>
        <w:rPr>
          <w:rFonts w:ascii="仿宋" w:hAnsi="仿宋" w:eastAsia="仿宋" w:cs="仿宋"/>
          <w:sz w:val="31"/>
          <w:szCs w:val="31"/>
        </w:rPr>
      </w:pPr>
    </w:p>
    <w:p w14:paraId="057CBD8C">
      <w:pPr>
        <w:spacing w:line="364" w:lineRule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drawing>
          <wp:inline distT="0" distB="0" distL="114300" distR="114300">
            <wp:extent cx="5288280" cy="4777740"/>
            <wp:effectExtent l="0" t="0" r="7620" b="3810"/>
            <wp:docPr id="10" name="图片 10" descr="国有资本预算收入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国有资本预算收入支出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61F96">
      <w:pPr>
        <w:spacing w:line="36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  <w:sectPr>
          <w:footerReference r:id="rId16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注：本单位没有国有资本经营预算财政拨款。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</w:t>
      </w:r>
    </w:p>
    <w:p w14:paraId="0EC49B69">
      <w:pPr>
        <w:pStyle w:val="2"/>
        <w:spacing w:line="339" w:lineRule="auto"/>
      </w:pPr>
    </w:p>
    <w:p w14:paraId="5AAFCBB2">
      <w:pPr>
        <w:pStyle w:val="2"/>
        <w:spacing w:line="340" w:lineRule="auto"/>
      </w:pPr>
    </w:p>
    <w:p w14:paraId="1C10FCFB">
      <w:pPr>
        <w:numPr>
          <w:ilvl w:val="0"/>
          <w:numId w:val="1"/>
        </w:numPr>
        <w:spacing w:before="101" w:line="224" w:lineRule="auto"/>
        <w:ind w:left="675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财政拨款“三公”经费支出决算表</w:t>
      </w:r>
    </w:p>
    <w:p w14:paraId="0412A12C">
      <w:pPr>
        <w:numPr>
          <w:ilvl w:val="0"/>
          <w:numId w:val="0"/>
        </w:numPr>
        <w:spacing w:before="101" w:line="224" w:lineRule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drawing>
          <wp:inline distT="0" distB="0" distL="114300" distR="114300">
            <wp:extent cx="5617210" cy="3920490"/>
            <wp:effectExtent l="0" t="0" r="2540" b="3810"/>
            <wp:docPr id="11" name="图片 11" descr="三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三公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1721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2C471">
      <w:pPr>
        <w:spacing w:line="362" w:lineRule="auto"/>
        <w:rPr>
          <w:rFonts w:hint="eastAsia" w:ascii="仿宋" w:hAnsi="仿宋" w:eastAsia="仿宋" w:cs="仿宋"/>
          <w:sz w:val="31"/>
          <w:szCs w:val="31"/>
          <w:lang w:eastAsia="zh-CN"/>
        </w:rPr>
        <w:sectPr>
          <w:footerReference r:id="rId17" w:type="default"/>
          <w:pgSz w:w="11907" w:h="16839"/>
          <w:pgMar w:top="1431" w:right="1785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注：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本单位没有财政拨款</w:t>
      </w:r>
      <w:r>
        <w:rPr>
          <w:rFonts w:ascii="仿宋" w:hAnsi="仿宋" w:eastAsia="仿宋" w:cs="仿宋"/>
          <w:color w:val="auto"/>
          <w:spacing w:val="-93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color w:val="auto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color w:val="auto"/>
          <w:spacing w:val="5"/>
          <w:sz w:val="31"/>
          <w:szCs w:val="31"/>
        </w:rPr>
        <w:t>三公”经费</w:t>
      </w:r>
      <w:r>
        <w:rPr>
          <w:rFonts w:ascii="仿宋" w:hAnsi="仿宋" w:eastAsia="仿宋" w:cs="仿宋"/>
          <w:color w:val="auto"/>
          <w:spacing w:val="44"/>
          <w:sz w:val="31"/>
          <w:szCs w:val="31"/>
        </w:rPr>
        <w:t>支出。</w:t>
      </w:r>
    </w:p>
    <w:p w14:paraId="0FCC7512">
      <w:pPr>
        <w:pStyle w:val="2"/>
        <w:spacing w:line="339" w:lineRule="auto"/>
      </w:pPr>
    </w:p>
    <w:p w14:paraId="43813826">
      <w:pPr>
        <w:pStyle w:val="2"/>
        <w:spacing w:line="339" w:lineRule="auto"/>
      </w:pPr>
    </w:p>
    <w:p w14:paraId="093384B0">
      <w:pPr>
        <w:numPr>
          <w:ilvl w:val="0"/>
          <w:numId w:val="2"/>
        </w:numPr>
        <w:spacing w:before="100" w:line="224" w:lineRule="auto"/>
        <w:ind w:left="30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部门预算项目支出绩效自评表</w:t>
      </w:r>
    </w:p>
    <w:p w14:paraId="315C2739">
      <w:pPr>
        <w:numPr>
          <w:ilvl w:val="0"/>
          <w:numId w:val="0"/>
        </w:numPr>
        <w:spacing w:before="100" w:line="224" w:lineRule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</w:p>
    <w:p w14:paraId="42DF28C6">
      <w:pPr>
        <w:pStyle w:val="2"/>
        <w:spacing w:line="261" w:lineRule="auto"/>
        <w:rPr>
          <w:rFonts w:hint="eastAsia" w:eastAsia="宋体"/>
          <w:lang w:eastAsia="zh-CN"/>
        </w:rPr>
        <w:sectPr>
          <w:footerReference r:id="rId18" w:type="default"/>
          <w:pgSz w:w="11907" w:h="16839"/>
          <w:pgMar w:top="1431" w:right="1714" w:bottom="1153" w:left="1785" w:header="0" w:footer="965" w:gutter="0"/>
          <w:cols w:space="720" w:num="1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61685" cy="7564755"/>
            <wp:effectExtent l="0" t="0" r="5715" b="17145"/>
            <wp:docPr id="12" name="图片 12" descr="绩效自评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绩效自评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861685" cy="756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D2F7E">
      <w:pPr>
        <w:pStyle w:val="2"/>
        <w:spacing w:line="261" w:lineRule="auto"/>
      </w:pPr>
    </w:p>
    <w:p w14:paraId="0F1256C8">
      <w:pPr>
        <w:spacing w:before="225" w:line="443" w:lineRule="exact"/>
        <w:ind w:left="48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position w:val="-2"/>
          <w:sz w:val="43"/>
          <w:szCs w:val="43"/>
        </w:rPr>
        <w:t>第三部分</w:t>
      </w:r>
      <w:r>
        <w:rPr>
          <w:rFonts w:ascii="微软雅黑" w:hAnsi="微软雅黑" w:eastAsia="微软雅黑" w:cs="微软雅黑"/>
          <w:spacing w:val="103"/>
          <w:position w:val="-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43"/>
          <w:szCs w:val="43"/>
        </w:rPr>
        <w:t>2023年度部门决算情况说明</w:t>
      </w:r>
    </w:p>
    <w:p w14:paraId="37428888">
      <w:pPr>
        <w:pStyle w:val="2"/>
        <w:spacing w:line="314" w:lineRule="auto"/>
      </w:pPr>
    </w:p>
    <w:p w14:paraId="6D2586CB">
      <w:pPr>
        <w:pStyle w:val="2"/>
        <w:spacing w:line="314" w:lineRule="auto"/>
      </w:pPr>
    </w:p>
    <w:p w14:paraId="22B242AE">
      <w:pPr>
        <w:pStyle w:val="2"/>
        <w:spacing w:line="315" w:lineRule="auto"/>
      </w:pPr>
    </w:p>
    <w:p w14:paraId="2E29AE01">
      <w:pPr>
        <w:spacing w:before="101" w:line="224" w:lineRule="auto"/>
        <w:ind w:left="67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 w14:paraId="1EEA3C8A">
      <w:pPr>
        <w:spacing w:before="248" w:line="362" w:lineRule="auto"/>
        <w:ind w:left="36" w:right="113" w:firstLine="634"/>
        <w:jc w:val="both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ascii="宋体" w:hAnsi="宋体" w:eastAsia="宋体" w:cs="宋体"/>
          <w:spacing w:val="4"/>
          <w:sz w:val="31"/>
          <w:szCs w:val="31"/>
        </w:rPr>
        <w:t>2023</w:t>
      </w:r>
      <w:r>
        <w:rPr>
          <w:rFonts w:ascii="宋体" w:hAnsi="宋体" w:eastAsia="宋体" w:cs="宋体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年度收、支总计均为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万元。与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2022</w:t>
      </w:r>
      <w:r>
        <w:rPr>
          <w:rFonts w:ascii="宋体" w:hAnsi="宋体" w:eastAsia="宋体" w:cs="宋体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年度相比，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收、支总计各减少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60.17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18.77</w:t>
      </w:r>
      <w:r>
        <w:rPr>
          <w:rFonts w:ascii="宋体" w:hAnsi="宋体" w:eastAsia="宋体" w:cs="宋体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16CE749F">
      <w:pPr>
        <w:spacing w:before="50" w:line="224" w:lineRule="auto"/>
        <w:ind w:left="672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 w14:paraId="63393D47">
      <w:pPr>
        <w:spacing w:before="253" w:line="368" w:lineRule="auto"/>
        <w:ind w:left="23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本年收入合计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万元，其中：财政拨款收入</w:t>
      </w:r>
      <w:r>
        <w:rPr>
          <w:rFonts w:hint="eastAsia" w:ascii="仿宋" w:hAnsi="仿宋" w:eastAsia="仿宋" w:cs="仿宋"/>
          <w:spacing w:val="2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</w:t>
      </w:r>
      <w:r>
        <w:rPr>
          <w:rFonts w:ascii="仿宋" w:hAnsi="仿宋" w:eastAsia="仿宋" w:cs="仿宋"/>
          <w:spacing w:val="6"/>
          <w:sz w:val="31"/>
          <w:szCs w:val="31"/>
        </w:rPr>
        <w:t>上年减少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60.17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18.77</w:t>
      </w:r>
      <w:r>
        <w:rPr>
          <w:rFonts w:ascii="宋体" w:hAnsi="宋体" w:eastAsia="宋体" w:cs="宋体"/>
          <w:spacing w:val="6"/>
          <w:sz w:val="31"/>
          <w:szCs w:val="31"/>
        </w:rPr>
        <w:t>%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 w14:paraId="606EB52B">
      <w:pPr>
        <w:spacing w:before="158" w:line="224" w:lineRule="auto"/>
        <w:ind w:left="674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 w14:paraId="63AFE3C4">
      <w:pPr>
        <w:spacing w:before="251" w:line="368" w:lineRule="auto"/>
        <w:ind w:firstLine="636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本年支出合计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万元，其中：基本支出</w:t>
      </w:r>
      <w:r>
        <w:rPr>
          <w:rFonts w:hint="eastAsia" w:ascii="仿宋" w:hAnsi="仿宋" w:eastAsia="仿宋" w:cs="仿宋"/>
          <w:spacing w:val="24"/>
          <w:sz w:val="31"/>
          <w:szCs w:val="31"/>
          <w:lang w:val="en-US" w:eastAsia="zh-CN"/>
        </w:rPr>
        <w:t>197.64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元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比上年</w:t>
      </w:r>
      <w:r>
        <w:rPr>
          <w:rFonts w:ascii="仿宋" w:hAnsi="仿宋" w:eastAsia="仿宋" w:cs="仿宋"/>
          <w:spacing w:val="7"/>
          <w:sz w:val="31"/>
          <w:szCs w:val="31"/>
        </w:rPr>
        <w:t>减少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67.87</w:t>
      </w:r>
      <w:r>
        <w:rPr>
          <w:rFonts w:ascii="仿宋" w:hAnsi="仿宋" w:eastAsia="仿宋" w:cs="仿宋"/>
          <w:spacing w:val="7"/>
          <w:sz w:val="31"/>
          <w:szCs w:val="31"/>
        </w:rPr>
        <w:t>万元，下降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25.56</w:t>
      </w:r>
      <w:r>
        <w:rPr>
          <w:rFonts w:ascii="宋体" w:hAnsi="宋体" w:eastAsia="宋体" w:cs="宋体"/>
          <w:spacing w:val="7"/>
          <w:sz w:val="31"/>
          <w:szCs w:val="31"/>
        </w:rPr>
        <w:t>%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pacing w:val="6"/>
          <w:sz w:val="31"/>
          <w:szCs w:val="31"/>
        </w:rPr>
        <w:t>项目支</w:t>
      </w:r>
      <w:r>
        <w:rPr>
          <w:rFonts w:ascii="仿宋" w:hAnsi="仿宋" w:eastAsia="仿宋" w:cs="仿宋"/>
          <w:spacing w:val="3"/>
          <w:sz w:val="31"/>
          <w:szCs w:val="31"/>
        </w:rPr>
        <w:t>出</w:t>
      </w:r>
      <w:r>
        <w:rPr>
          <w:rFonts w:hint="eastAsia" w:ascii="仿宋" w:hAnsi="仿宋" w:eastAsia="仿宋" w:cs="仿宋"/>
          <w:spacing w:val="47"/>
          <w:sz w:val="31"/>
          <w:szCs w:val="31"/>
          <w:lang w:val="en-US" w:eastAsia="zh-CN"/>
        </w:rPr>
        <w:t>62.72</w:t>
      </w:r>
      <w:r>
        <w:rPr>
          <w:rFonts w:ascii="仿宋" w:hAnsi="仿宋" w:eastAsia="仿宋" w:cs="仿宋"/>
          <w:spacing w:val="3"/>
          <w:sz w:val="31"/>
          <w:szCs w:val="31"/>
        </w:rPr>
        <w:t>万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元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比上年增加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7.7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13.99</w:t>
      </w:r>
      <w:r>
        <w:rPr>
          <w:rFonts w:ascii="宋体" w:hAnsi="宋体" w:eastAsia="宋体" w:cs="宋体"/>
          <w:spacing w:val="3"/>
          <w:sz w:val="31"/>
          <w:szCs w:val="31"/>
        </w:rPr>
        <w:t>%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 w14:paraId="2105CC0F">
      <w:pPr>
        <w:spacing w:before="101" w:line="224" w:lineRule="auto"/>
        <w:ind w:left="686"/>
        <w:jc w:val="both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 w14:paraId="2192B9C2">
      <w:pPr>
        <w:spacing w:before="248" w:line="362" w:lineRule="auto"/>
        <w:ind w:left="23" w:right="86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2023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年度财政拨款收、支总计均为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5"/>
          <w:sz w:val="31"/>
          <w:szCs w:val="31"/>
        </w:rPr>
        <w:t>万元，与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2022</w:t>
      </w:r>
      <w:r>
        <w:rPr>
          <w:rFonts w:ascii="宋体" w:hAnsi="宋体" w:eastAsia="宋体" w:cs="宋体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-9"/>
          <w:sz w:val="31"/>
          <w:szCs w:val="31"/>
        </w:rPr>
        <w:t>相比，财政拨款收、支总计各减少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60.17</w:t>
      </w:r>
      <w:r>
        <w:rPr>
          <w:rFonts w:ascii="仿宋" w:hAnsi="仿宋" w:eastAsia="仿宋" w:cs="仿宋"/>
          <w:spacing w:val="-9"/>
          <w:sz w:val="31"/>
          <w:szCs w:val="31"/>
        </w:rPr>
        <w:t>万元，降</w:t>
      </w:r>
      <w:r>
        <w:rPr>
          <w:rFonts w:ascii="仿宋" w:hAnsi="仿宋" w:eastAsia="仿宋" w:cs="仿宋"/>
          <w:spacing w:val="-1"/>
          <w:sz w:val="31"/>
          <w:szCs w:val="31"/>
        </w:rPr>
        <w:t>低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18.77</w:t>
      </w:r>
      <w:r>
        <w:rPr>
          <w:rFonts w:ascii="宋体" w:hAnsi="宋体" w:eastAsia="宋体" w:cs="宋体"/>
          <w:spacing w:val="-1"/>
          <w:sz w:val="31"/>
          <w:szCs w:val="31"/>
        </w:rPr>
        <w:t>%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437747DA">
      <w:pPr>
        <w:spacing w:before="101" w:line="224" w:lineRule="auto"/>
        <w:ind w:left="6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五、一般公共预算财政拨款支出决算情况说明</w:t>
      </w:r>
    </w:p>
    <w:p w14:paraId="41512B78">
      <w:pPr>
        <w:spacing w:before="248" w:line="223" w:lineRule="auto"/>
        <w:ind w:left="662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一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）一般公共预算财政拨款支出决算总体情况</w:t>
      </w:r>
    </w:p>
    <w:p w14:paraId="7E07C6CA">
      <w:pPr>
        <w:spacing w:before="248" w:line="362" w:lineRule="auto"/>
        <w:ind w:left="23" w:right="86" w:firstLine="648"/>
        <w:rPr>
          <w:rFonts w:ascii="仿宋" w:hAnsi="仿宋" w:eastAsia="仿宋" w:cs="仿宋"/>
          <w:sz w:val="31"/>
          <w:szCs w:val="31"/>
        </w:rPr>
        <w:sectPr>
          <w:pgSz w:w="11907" w:h="16839"/>
          <w:pgMar w:top="1431" w:right="1714" w:bottom="1153" w:left="1701" w:header="0" w:footer="965" w:gutter="0"/>
          <w:cols w:space="720" w:num="1"/>
        </w:sectPr>
      </w:pPr>
      <w:r>
        <w:rPr>
          <w:rFonts w:ascii="仿宋" w:hAnsi="仿宋" w:eastAsia="仿宋" w:cs="仿宋"/>
          <w:spacing w:val="6"/>
          <w:sz w:val="31"/>
          <w:szCs w:val="31"/>
        </w:rPr>
        <w:t>2023 年度一般公共预算财政拨款支出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6"/>
          <w:sz w:val="31"/>
          <w:szCs w:val="31"/>
        </w:rPr>
        <w:t>万元，占本年支出合计的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100</w:t>
      </w:r>
      <w:r>
        <w:rPr>
          <w:rFonts w:ascii="仿宋" w:hAnsi="仿宋" w:eastAsia="仿宋" w:cs="仿宋"/>
          <w:spacing w:val="6"/>
          <w:sz w:val="31"/>
          <w:szCs w:val="31"/>
        </w:rPr>
        <w:t>%。与 2022 年度相比，一般公共预算财政拨款支出减少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60.17</w:t>
      </w:r>
      <w:r>
        <w:rPr>
          <w:rFonts w:ascii="仿宋" w:hAnsi="仿宋" w:eastAsia="仿宋" w:cs="仿宋"/>
          <w:spacing w:val="6"/>
          <w:sz w:val="31"/>
          <w:szCs w:val="31"/>
        </w:rPr>
        <w:t>万元，降低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18.77</w:t>
      </w:r>
      <w:r>
        <w:rPr>
          <w:rFonts w:ascii="仿宋" w:hAnsi="仿宋" w:eastAsia="仿宋" w:cs="仿宋"/>
          <w:spacing w:val="6"/>
          <w:sz w:val="31"/>
          <w:szCs w:val="31"/>
        </w:rPr>
        <w:t>%。</w:t>
      </w:r>
    </w:p>
    <w:p w14:paraId="5F750B02">
      <w:pPr>
        <w:pStyle w:val="2"/>
        <w:spacing w:line="286" w:lineRule="auto"/>
      </w:pPr>
    </w:p>
    <w:p w14:paraId="6DC4E955">
      <w:pPr>
        <w:spacing w:before="51" w:line="223" w:lineRule="auto"/>
        <w:ind w:left="659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一般公共预算财政拨款支出决算结构情况</w:t>
      </w:r>
    </w:p>
    <w:p w14:paraId="2610315E">
      <w:pPr>
        <w:spacing w:before="251" w:line="364" w:lineRule="auto"/>
        <w:ind w:left="68" w:right="7" w:firstLine="603"/>
        <w:jc w:val="both"/>
        <w:rPr>
          <w:rFonts w:hint="default" w:ascii="仿宋" w:hAnsi="仿宋" w:eastAsia="仿宋" w:cs="仿宋"/>
          <w:color w:val="FF0000"/>
          <w:spacing w:val="6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4"/>
          <w:sz w:val="31"/>
          <w:szCs w:val="31"/>
        </w:rPr>
        <w:t>2023</w:t>
      </w:r>
      <w:r>
        <w:rPr>
          <w:rFonts w:ascii="宋体" w:hAnsi="宋体" w:eastAsia="宋体" w:cs="宋体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年度一般公共预算财政拨款支出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万元，主要用于</w:t>
      </w:r>
      <w:r>
        <w:rPr>
          <w:rFonts w:ascii="仿宋" w:hAnsi="仿宋" w:eastAsia="仿宋" w:cs="仿宋"/>
          <w:spacing w:val="-6"/>
          <w:sz w:val="31"/>
          <w:szCs w:val="31"/>
        </w:rPr>
        <w:t>以下方面：一般公共服务支出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221.9</w:t>
      </w:r>
      <w:r>
        <w:rPr>
          <w:rFonts w:ascii="仿宋" w:hAnsi="仿宋" w:eastAsia="仿宋" w:cs="仿宋"/>
          <w:spacing w:val="-6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>85.23</w:t>
      </w:r>
      <w:r>
        <w:rPr>
          <w:rFonts w:ascii="宋体" w:hAnsi="宋体" w:eastAsia="宋体" w:cs="宋体"/>
          <w:spacing w:val="-6"/>
          <w:sz w:val="31"/>
          <w:szCs w:val="31"/>
        </w:rPr>
        <w:t>%</w:t>
      </w:r>
      <w:r>
        <w:rPr>
          <w:rFonts w:ascii="仿宋" w:hAnsi="仿宋" w:eastAsia="仿宋" w:cs="仿宋"/>
          <w:spacing w:val="-6"/>
          <w:sz w:val="31"/>
          <w:szCs w:val="31"/>
        </w:rPr>
        <w:t>；</w:t>
      </w:r>
      <w:r>
        <w:rPr>
          <w:rFonts w:hint="eastAsia" w:ascii="仿宋" w:hAnsi="仿宋" w:eastAsia="仿宋"/>
          <w:sz w:val="32"/>
          <w:szCs w:val="30"/>
        </w:rPr>
        <w:t>社会保障和就业支出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28.64</w:t>
      </w:r>
      <w:r>
        <w:rPr>
          <w:rFonts w:hint="eastAsia" w:ascii="仿宋" w:hAnsi="仿宋" w:eastAsia="仿宋"/>
          <w:sz w:val="32"/>
          <w:szCs w:val="30"/>
        </w:rPr>
        <w:t>万元，占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0"/>
        </w:rPr>
        <w:t>%；卫生健康支出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4.17</w:t>
      </w:r>
      <w:r>
        <w:rPr>
          <w:rFonts w:hint="eastAsia" w:ascii="仿宋" w:hAnsi="仿宋" w:eastAsia="仿宋"/>
          <w:sz w:val="32"/>
          <w:szCs w:val="30"/>
        </w:rPr>
        <w:t>万元，占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1.6</w:t>
      </w:r>
      <w:r>
        <w:rPr>
          <w:rFonts w:hint="eastAsia" w:ascii="仿宋" w:hAnsi="仿宋" w:eastAsia="仿宋"/>
          <w:sz w:val="32"/>
          <w:szCs w:val="30"/>
        </w:rPr>
        <w:t>%；住房保障支出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5.64</w:t>
      </w:r>
      <w:r>
        <w:rPr>
          <w:rFonts w:hint="eastAsia" w:ascii="仿宋" w:hAnsi="仿宋" w:eastAsia="仿宋"/>
          <w:sz w:val="32"/>
          <w:szCs w:val="30"/>
        </w:rPr>
        <w:t>万元，占</w:t>
      </w:r>
      <w:r>
        <w:rPr>
          <w:rFonts w:hint="eastAsia" w:ascii="仿宋" w:hAnsi="仿宋" w:eastAsia="仿宋"/>
          <w:sz w:val="32"/>
          <w:szCs w:val="30"/>
          <w:lang w:val="en-US" w:eastAsia="zh-CN"/>
        </w:rPr>
        <w:t>2.17</w:t>
      </w:r>
      <w:r>
        <w:rPr>
          <w:rFonts w:hint="eastAsia" w:ascii="仿宋" w:hAnsi="仿宋" w:eastAsia="仿宋"/>
          <w:sz w:val="32"/>
          <w:szCs w:val="30"/>
        </w:rPr>
        <w:t>%。</w:t>
      </w:r>
    </w:p>
    <w:p w14:paraId="2468222A">
      <w:pPr>
        <w:spacing w:before="52" w:line="223" w:lineRule="auto"/>
        <w:ind w:left="659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一般公共预算财政拨款支出决算具体情况</w:t>
      </w:r>
    </w:p>
    <w:p w14:paraId="536F7F4A">
      <w:pPr>
        <w:spacing w:before="248" w:line="357" w:lineRule="auto"/>
        <w:ind w:left="38" w:right="8" w:rightChars="0" w:firstLine="633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12"/>
          <w:sz w:val="31"/>
          <w:szCs w:val="31"/>
        </w:rPr>
        <w:t>年度一般公共预算财政拨款支出年初预算为</w:t>
      </w:r>
      <w:r>
        <w:rPr>
          <w:rFonts w:hint="eastAsia" w:ascii="仿宋" w:hAnsi="仿宋" w:eastAsia="仿宋" w:cs="仿宋"/>
          <w:spacing w:val="33"/>
          <w:sz w:val="31"/>
          <w:szCs w:val="31"/>
          <w:lang w:val="en-US" w:eastAsia="zh-CN"/>
        </w:rPr>
        <w:t>263</w:t>
      </w:r>
      <w:r>
        <w:rPr>
          <w:rFonts w:ascii="仿宋" w:hAnsi="仿宋" w:eastAsia="仿宋" w:cs="仿宋"/>
          <w:spacing w:val="12"/>
          <w:sz w:val="31"/>
          <w:szCs w:val="31"/>
        </w:rPr>
        <w:t>万</w:t>
      </w:r>
      <w:r>
        <w:rPr>
          <w:rFonts w:ascii="仿宋" w:hAnsi="仿宋" w:eastAsia="仿宋" w:cs="仿宋"/>
          <w:spacing w:val="4"/>
          <w:sz w:val="31"/>
          <w:szCs w:val="31"/>
        </w:rPr>
        <w:t>元，支出决算为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260.36</w:t>
      </w:r>
      <w:r>
        <w:rPr>
          <w:rFonts w:ascii="仿宋" w:hAnsi="仿宋" w:eastAsia="仿宋" w:cs="仿宋"/>
          <w:spacing w:val="4"/>
          <w:sz w:val="31"/>
          <w:szCs w:val="31"/>
        </w:rPr>
        <w:t>万元，完成年初预算的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99</w:t>
      </w:r>
      <w:r>
        <w:rPr>
          <w:rFonts w:ascii="宋体" w:hAnsi="宋体" w:eastAsia="宋体" w:cs="宋体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4"/>
          <w:sz w:val="31"/>
          <w:szCs w:val="31"/>
        </w:rPr>
        <w:t>。其中：</w:t>
      </w:r>
    </w:p>
    <w:p w14:paraId="197EEAE0">
      <w:pPr>
        <w:spacing w:before="54" w:line="361" w:lineRule="auto"/>
        <w:ind w:left="30" w:firstLine="66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-12"/>
          <w:sz w:val="31"/>
          <w:szCs w:val="31"/>
        </w:rPr>
        <w:t>1.</w:t>
      </w:r>
      <w:r>
        <w:rPr>
          <w:rFonts w:ascii="仿宋" w:hAnsi="仿宋" w:eastAsia="仿宋" w:cs="仿宋"/>
          <w:spacing w:val="-12"/>
          <w:sz w:val="31"/>
          <w:szCs w:val="31"/>
        </w:rPr>
        <w:t>一般公共服务（类）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财政事务（款）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行政运行（项）</w:t>
      </w:r>
      <w:r>
        <w:rPr>
          <w:rFonts w:hint="eastAsia" w:ascii="仿宋" w:hAnsi="仿宋" w:eastAsia="仿宋" w:cs="仿宋"/>
          <w:spacing w:val="-12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20"/>
          <w:sz w:val="31"/>
          <w:szCs w:val="31"/>
        </w:rPr>
        <w:t>年初预算为</w:t>
      </w:r>
      <w:r>
        <w:rPr>
          <w:rFonts w:hint="eastAsia" w:ascii="仿宋" w:hAnsi="仿宋" w:eastAsia="仿宋" w:cs="仿宋"/>
          <w:spacing w:val="59"/>
          <w:sz w:val="31"/>
          <w:szCs w:val="31"/>
          <w:lang w:val="en-US" w:eastAsia="zh-CN"/>
        </w:rPr>
        <w:t>222.7</w:t>
      </w:r>
      <w:r>
        <w:rPr>
          <w:rFonts w:ascii="仿宋" w:hAnsi="仿宋" w:eastAsia="仿宋" w:cs="仿宋"/>
          <w:spacing w:val="20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支出决算为</w:t>
      </w:r>
      <w:r>
        <w:rPr>
          <w:rFonts w:hint="eastAsia" w:ascii="仿宋" w:hAnsi="仿宋" w:eastAsia="仿宋" w:cs="仿宋"/>
          <w:spacing w:val="58"/>
          <w:sz w:val="31"/>
          <w:szCs w:val="31"/>
          <w:lang w:val="en-US" w:eastAsia="zh-CN"/>
        </w:rPr>
        <w:t>221.9</w:t>
      </w:r>
      <w:r>
        <w:rPr>
          <w:rFonts w:ascii="仿宋" w:hAnsi="仿宋" w:eastAsia="仿宋" w:cs="仿宋"/>
          <w:spacing w:val="20"/>
          <w:sz w:val="31"/>
          <w:szCs w:val="31"/>
        </w:rPr>
        <w:t>万元，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完成年初预算</w:t>
      </w:r>
      <w:r>
        <w:rPr>
          <w:rFonts w:ascii="仿宋" w:hAnsi="仿宋" w:eastAsia="仿宋" w:cs="仿宋"/>
          <w:spacing w:val="4"/>
          <w:sz w:val="31"/>
          <w:szCs w:val="31"/>
        </w:rPr>
        <w:t>的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99.64</w:t>
      </w:r>
      <w:r>
        <w:rPr>
          <w:rFonts w:ascii="宋体" w:hAnsi="宋体" w:eastAsia="宋体" w:cs="宋体"/>
          <w:spacing w:val="4"/>
          <w:sz w:val="31"/>
          <w:szCs w:val="31"/>
        </w:rPr>
        <w:t>%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 w14:paraId="0D61348F">
      <w:pPr>
        <w:spacing w:before="52" w:line="322" w:lineRule="auto"/>
        <w:ind w:left="34" w:right="98" w:firstLine="636"/>
        <w:rPr>
          <w:rFonts w:ascii="仿宋" w:hAnsi="仿宋" w:eastAsia="仿宋" w:cs="仿宋"/>
          <w:spacing w:val="13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 xml:space="preserve">2. </w:t>
      </w:r>
      <w:r>
        <w:rPr>
          <w:rFonts w:hint="eastAsia" w:ascii="仿宋" w:hAnsi="仿宋" w:eastAsia="仿宋"/>
          <w:sz w:val="32"/>
          <w:lang w:eastAsia="zh-CN"/>
        </w:rPr>
        <w:t>社会保障和就业支出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年初预算为</w:t>
      </w:r>
      <w:r>
        <w:rPr>
          <w:rFonts w:hint="eastAsia" w:ascii="仿宋" w:hAnsi="仿宋" w:eastAsia="仿宋" w:cs="仿宋"/>
          <w:spacing w:val="30"/>
          <w:sz w:val="31"/>
          <w:szCs w:val="31"/>
          <w:lang w:val="en-US" w:eastAsia="zh-CN"/>
        </w:rPr>
        <w:t>30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13"/>
          <w:sz w:val="31"/>
          <w:szCs w:val="31"/>
        </w:rPr>
        <w:t>支出决算为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28.64</w:t>
      </w:r>
      <w:r>
        <w:rPr>
          <w:rFonts w:ascii="仿宋" w:hAnsi="仿宋" w:eastAsia="仿宋" w:cs="仿宋"/>
          <w:spacing w:val="13"/>
          <w:sz w:val="31"/>
          <w:szCs w:val="31"/>
        </w:rPr>
        <w:t>万元，完成年初预算的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95.47</w:t>
      </w:r>
      <w:r>
        <w:rPr>
          <w:rFonts w:ascii="宋体" w:hAnsi="宋体" w:eastAsia="宋体" w:cs="宋体"/>
          <w:spacing w:val="13"/>
          <w:sz w:val="31"/>
          <w:szCs w:val="31"/>
        </w:rPr>
        <w:t>%</w:t>
      </w:r>
      <w:r>
        <w:rPr>
          <w:rFonts w:ascii="仿宋" w:hAnsi="仿宋" w:eastAsia="仿宋" w:cs="仿宋"/>
          <w:spacing w:val="13"/>
          <w:sz w:val="31"/>
          <w:szCs w:val="31"/>
        </w:rPr>
        <w:t>。</w:t>
      </w:r>
    </w:p>
    <w:p w14:paraId="20535C72">
      <w:pPr>
        <w:spacing w:before="54" w:line="361" w:lineRule="auto"/>
        <w:ind w:left="30" w:firstLine="660"/>
        <w:rPr>
          <w:rFonts w:ascii="仿宋" w:hAnsi="仿宋" w:eastAsia="仿宋" w:cs="仿宋"/>
          <w:spacing w:val="20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 xml:space="preserve">3. </w:t>
      </w:r>
      <w:r>
        <w:rPr>
          <w:rFonts w:hint="eastAsia" w:ascii="仿宋" w:hAnsi="仿宋" w:eastAsia="仿宋" w:cs="仿宋"/>
          <w:spacing w:val="20"/>
          <w:sz w:val="31"/>
          <w:szCs w:val="31"/>
        </w:rPr>
        <w:t>卫生健康支出</w:t>
      </w:r>
      <w:r>
        <w:rPr>
          <w:rFonts w:ascii="仿宋" w:hAnsi="仿宋" w:eastAsia="仿宋" w:cs="仿宋"/>
          <w:spacing w:val="20"/>
          <w:sz w:val="31"/>
          <w:szCs w:val="31"/>
        </w:rPr>
        <w:t>年初预算为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4.3</w:t>
      </w:r>
      <w:r>
        <w:rPr>
          <w:rFonts w:ascii="仿宋" w:hAnsi="仿宋" w:eastAsia="仿宋" w:cs="仿宋"/>
          <w:spacing w:val="20"/>
          <w:sz w:val="31"/>
          <w:szCs w:val="31"/>
        </w:rPr>
        <w:t>万元，支出决算为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4.17</w:t>
      </w:r>
      <w:r>
        <w:rPr>
          <w:rFonts w:ascii="仿宋" w:hAnsi="仿宋" w:eastAsia="仿宋" w:cs="仿宋"/>
          <w:spacing w:val="20"/>
          <w:sz w:val="31"/>
          <w:szCs w:val="31"/>
        </w:rPr>
        <w:t>万元，完成年初预算的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96.98</w:t>
      </w:r>
      <w:r>
        <w:rPr>
          <w:rFonts w:ascii="仿宋" w:hAnsi="仿宋" w:eastAsia="仿宋" w:cs="仿宋"/>
          <w:spacing w:val="20"/>
          <w:sz w:val="31"/>
          <w:szCs w:val="31"/>
        </w:rPr>
        <w:t>%。</w:t>
      </w:r>
    </w:p>
    <w:p w14:paraId="3844A26E">
      <w:pPr>
        <w:spacing w:before="54" w:line="361" w:lineRule="auto"/>
        <w:ind w:left="30" w:firstLine="660"/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0"/>
          <w:sz w:val="31"/>
          <w:szCs w:val="31"/>
        </w:rPr>
        <w:t>4.住房保障支出年初预算为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pacing w:val="20"/>
          <w:sz w:val="31"/>
          <w:szCs w:val="31"/>
        </w:rPr>
        <w:t>万元，支出决算为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5.64</w:t>
      </w:r>
      <w:r>
        <w:rPr>
          <w:rFonts w:hint="eastAsia" w:ascii="仿宋" w:hAnsi="仿宋" w:eastAsia="仿宋" w:cs="仿宋"/>
          <w:spacing w:val="20"/>
          <w:sz w:val="31"/>
          <w:szCs w:val="31"/>
        </w:rPr>
        <w:t>万元，完成年初预算的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94</w:t>
      </w:r>
      <w:r>
        <w:rPr>
          <w:rFonts w:hint="eastAsia" w:ascii="仿宋" w:hAnsi="仿宋" w:eastAsia="仿宋" w:cs="仿宋"/>
          <w:spacing w:val="20"/>
          <w:sz w:val="31"/>
          <w:szCs w:val="31"/>
        </w:rPr>
        <w:t>%</w:t>
      </w:r>
      <w:r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  <w:t>。</w:t>
      </w:r>
    </w:p>
    <w:p w14:paraId="3EBDCB54">
      <w:pPr>
        <w:spacing w:before="101" w:line="224" w:lineRule="auto"/>
        <w:ind w:left="67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六、一般公共预算财政拨款基本支出决算情况说明</w:t>
      </w:r>
    </w:p>
    <w:p w14:paraId="3A72BC7F">
      <w:pPr>
        <w:spacing w:before="247" w:line="357" w:lineRule="auto"/>
        <w:ind w:left="64" w:right="96" w:firstLine="607"/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2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12"/>
          <w:sz w:val="31"/>
          <w:szCs w:val="31"/>
        </w:rPr>
        <w:t>年度一般公共预算财政拨款基本支出</w:t>
      </w:r>
      <w:r>
        <w:rPr>
          <w:rFonts w:hint="eastAsia" w:ascii="仿宋" w:hAnsi="仿宋" w:eastAsia="仿宋" w:cs="仿宋"/>
          <w:spacing w:val="33"/>
          <w:sz w:val="31"/>
          <w:szCs w:val="31"/>
          <w:lang w:val="en-US" w:eastAsia="zh-CN"/>
        </w:rPr>
        <w:t>197.64</w:t>
      </w:r>
      <w:r>
        <w:rPr>
          <w:rFonts w:ascii="仿宋" w:hAnsi="仿宋" w:eastAsia="仿宋" w:cs="仿宋"/>
          <w:spacing w:val="12"/>
          <w:sz w:val="31"/>
          <w:szCs w:val="31"/>
        </w:rPr>
        <w:t>万元，其</w:t>
      </w:r>
      <w:r>
        <w:rPr>
          <w:rFonts w:ascii="仿宋" w:hAnsi="仿宋" w:eastAsia="仿宋" w:cs="仿宋"/>
          <w:spacing w:val="-30"/>
          <w:sz w:val="31"/>
          <w:szCs w:val="31"/>
        </w:rPr>
        <w:t>中：</w:t>
      </w:r>
    </w:p>
    <w:p w14:paraId="02A0D961">
      <w:pPr>
        <w:spacing w:before="52" w:line="322" w:lineRule="auto"/>
        <w:ind w:left="34" w:right="98" w:firstLine="636"/>
        <w:rPr>
          <w:rFonts w:hint="default" w:ascii="仿宋" w:hAnsi="仿宋" w:eastAsia="仿宋" w:cs="仿宋"/>
          <w:spacing w:val="13"/>
          <w:sz w:val="31"/>
          <w:szCs w:val="31"/>
          <w:lang w:val="en-US" w:eastAsia="zh-CN"/>
        </w:rPr>
        <w:sectPr>
          <w:footerReference r:id="rId19" w:type="default"/>
          <w:pgSz w:w="11907" w:h="16839"/>
          <w:pgMar w:top="1431" w:right="1714" w:bottom="1153" w:left="1785" w:header="0" w:footer="965" w:gutter="0"/>
          <w:cols w:space="720" w:num="1"/>
        </w:sect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人员经费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96.44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，主要包括：基本工资、津贴补贴</w:t>
      </w:r>
    </w:p>
    <w:p w14:paraId="169391F8">
      <w:pPr>
        <w:spacing w:before="53" w:line="367" w:lineRule="auto"/>
        <w:ind w:right="98"/>
        <w:jc w:val="both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、奖</w:t>
      </w:r>
      <w:r>
        <w:rPr>
          <w:rFonts w:ascii="仿宋" w:hAnsi="仿宋" w:eastAsia="仿宋" w:cs="仿宋"/>
          <w:spacing w:val="9"/>
          <w:sz w:val="31"/>
          <w:szCs w:val="31"/>
        </w:rPr>
        <w:t>金、绩效工资、机关事业单位基</w:t>
      </w:r>
      <w:r>
        <w:rPr>
          <w:rFonts w:ascii="仿宋" w:hAnsi="仿宋" w:eastAsia="仿宋" w:cs="仿宋"/>
          <w:spacing w:val="8"/>
          <w:sz w:val="31"/>
          <w:szCs w:val="31"/>
        </w:rPr>
        <w:t>本养老保险缴</w:t>
      </w:r>
      <w:r>
        <w:rPr>
          <w:rFonts w:ascii="仿宋" w:hAnsi="仿宋" w:eastAsia="仿宋" w:cs="仿宋"/>
          <w:spacing w:val="9"/>
          <w:sz w:val="31"/>
          <w:szCs w:val="31"/>
        </w:rPr>
        <w:t>费、职工基本医疗保险缴费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其他社会保障缴费、住房公积金、</w:t>
      </w:r>
      <w:r>
        <w:rPr>
          <w:rFonts w:ascii="仿宋" w:hAnsi="仿宋" w:eastAsia="仿宋" w:cs="仿宋"/>
          <w:spacing w:val="3"/>
          <w:sz w:val="31"/>
          <w:szCs w:val="31"/>
        </w:rPr>
        <w:t>离休费、</w:t>
      </w:r>
      <w:r>
        <w:rPr>
          <w:rFonts w:ascii="仿宋" w:hAnsi="仿宋" w:eastAsia="仿宋" w:cs="仿宋"/>
          <w:spacing w:val="2"/>
          <w:sz w:val="31"/>
          <w:szCs w:val="31"/>
        </w:rPr>
        <w:t>抚恤金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</w:p>
    <w:p w14:paraId="063F17C1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20"/>
          <w:sz w:val="31"/>
          <w:szCs w:val="31"/>
          <w:lang w:eastAsia="zh-CN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公用经费</w:t>
      </w:r>
      <w:r>
        <w:rPr>
          <w:rFonts w:hint="eastAsia" w:ascii="仿宋" w:hAnsi="仿宋" w:eastAsia="仿宋" w:cs="仿宋"/>
          <w:spacing w:val="-1"/>
          <w:sz w:val="31"/>
          <w:szCs w:val="31"/>
          <w:lang w:val="en-US" w:eastAsia="zh-CN"/>
        </w:rPr>
        <w:t>101.2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万元</w:t>
      </w:r>
      <w:r>
        <w:rPr>
          <w:rFonts w:ascii="仿宋" w:hAnsi="仿宋" w:eastAsia="仿宋" w:cs="仿宋"/>
          <w:spacing w:val="-1"/>
          <w:sz w:val="31"/>
          <w:szCs w:val="31"/>
        </w:rPr>
        <w:t>，主要包括：办公费、</w:t>
      </w:r>
      <w:r>
        <w:rPr>
          <w:rFonts w:ascii="仿宋" w:hAnsi="仿宋" w:eastAsia="仿宋" w:cs="仿宋"/>
          <w:spacing w:val="9"/>
          <w:sz w:val="31"/>
          <w:szCs w:val="31"/>
        </w:rPr>
        <w:t>取暖费、</w:t>
      </w:r>
      <w:r>
        <w:rPr>
          <w:rFonts w:ascii="仿宋" w:hAnsi="仿宋" w:eastAsia="仿宋" w:cs="仿宋"/>
          <w:spacing w:val="8"/>
          <w:sz w:val="31"/>
          <w:szCs w:val="31"/>
        </w:rPr>
        <w:t>差旅</w:t>
      </w:r>
      <w:r>
        <w:rPr>
          <w:rFonts w:ascii="仿宋" w:hAnsi="仿宋" w:eastAsia="仿宋" w:cs="仿宋"/>
          <w:sz w:val="31"/>
          <w:szCs w:val="31"/>
        </w:rPr>
        <w:t>费、</w:t>
      </w:r>
      <w:r>
        <w:rPr>
          <w:rFonts w:ascii="仿宋" w:hAnsi="仿宋" w:eastAsia="仿宋" w:cs="仿宋"/>
          <w:spacing w:val="9"/>
          <w:sz w:val="31"/>
          <w:szCs w:val="31"/>
        </w:rPr>
        <w:t>工会经费、其他交通费用</w:t>
      </w:r>
      <w:r>
        <w:rPr>
          <w:rFonts w:hint="eastAsia" w:ascii="仿宋" w:hAnsi="仿宋" w:eastAsia="仿宋" w:cs="仿宋"/>
          <w:spacing w:val="9"/>
          <w:sz w:val="31"/>
          <w:szCs w:val="31"/>
          <w:lang w:eastAsia="zh-CN"/>
        </w:rPr>
        <w:t>。</w:t>
      </w:r>
    </w:p>
    <w:p w14:paraId="11B01F43">
      <w:pPr>
        <w:spacing w:before="101" w:line="224" w:lineRule="auto"/>
        <w:ind w:firstLine="656" w:firstLineChars="2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七、政府性基金预算财政拨款收入支出决算</w:t>
      </w:r>
      <w:r>
        <w:rPr>
          <w:rFonts w:ascii="黑体" w:hAnsi="黑体" w:eastAsia="黑体" w:cs="黑体"/>
          <w:spacing w:val="8"/>
          <w:sz w:val="31"/>
          <w:szCs w:val="31"/>
        </w:rPr>
        <w:t>情况说明</w:t>
      </w:r>
    </w:p>
    <w:p w14:paraId="2B08C9D9">
      <w:pPr>
        <w:spacing w:before="247" w:line="357" w:lineRule="auto"/>
        <w:ind w:right="96" w:firstLine="668" w:firstLineChars="200"/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德惠市总工会</w:t>
      </w:r>
      <w:r>
        <w:rPr>
          <w:rFonts w:ascii="仿宋" w:hAnsi="仿宋" w:eastAsia="仿宋" w:cs="仿宋"/>
          <w:spacing w:val="12"/>
          <w:sz w:val="31"/>
          <w:szCs w:val="31"/>
        </w:rPr>
        <w:t>2023年度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无</w:t>
      </w:r>
      <w:r>
        <w:rPr>
          <w:rFonts w:ascii="仿宋" w:hAnsi="仿宋" w:eastAsia="仿宋" w:cs="仿宋"/>
          <w:spacing w:val="12"/>
          <w:sz w:val="31"/>
          <w:szCs w:val="31"/>
        </w:rPr>
        <w:t>政府性基金预算财政拨款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收入支出。</w:t>
      </w:r>
    </w:p>
    <w:p w14:paraId="2FF2E8DF">
      <w:pPr>
        <w:spacing w:before="101" w:line="224" w:lineRule="auto"/>
        <w:ind w:firstLine="656" w:firstLineChars="200"/>
        <w:rPr>
          <w:rFonts w:hint="eastAsia" w:ascii="黑体" w:hAnsi="黑体" w:eastAsia="黑体" w:cs="黑体"/>
          <w:spacing w:val="9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八、国有资本经营预算财政拨款支出决算情况说明</w:t>
      </w:r>
    </w:p>
    <w:p w14:paraId="5C43DA9A">
      <w:pPr>
        <w:spacing w:before="247" w:line="357" w:lineRule="auto"/>
        <w:ind w:left="64" w:right="96" w:firstLine="607"/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德惠市总工会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2023年无国有资本经营预算财政拨款支出。</w:t>
      </w:r>
    </w:p>
    <w:p w14:paraId="056E844C">
      <w:pPr>
        <w:spacing w:before="101" w:line="224" w:lineRule="auto"/>
        <w:ind w:left="67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九、财政拨款“三公”经费支出决算情况说明</w:t>
      </w:r>
    </w:p>
    <w:p w14:paraId="7B6B76EA">
      <w:pPr>
        <w:spacing w:before="247" w:line="357" w:lineRule="auto"/>
        <w:ind w:left="64" w:right="96" w:firstLine="607"/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德惠市总工会202</w:t>
      </w:r>
      <w:r>
        <w:rPr>
          <w:rFonts w:hint="eastAsia" w:ascii="仿宋" w:hAnsi="仿宋" w:eastAsia="仿宋" w:cs="仿宋"/>
          <w:spacing w:val="12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年度无财政拨款“三公”经费支出。</w:t>
      </w:r>
    </w:p>
    <w:p w14:paraId="11026F5B">
      <w:pPr>
        <w:spacing w:before="53" w:line="367" w:lineRule="auto"/>
        <w:ind w:right="98" w:firstLine="648" w:firstLineChars="200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（一）“三公”经费财政拨款支出决算总体情况说明</w:t>
      </w:r>
    </w:p>
    <w:p w14:paraId="539DC78D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年度“三公”经费财政拨款支出预算为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万元，支出决算为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万元，完成预算的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%；</w:t>
      </w:r>
      <w:r>
        <w:rPr>
          <w:rFonts w:ascii="仿宋" w:hAnsi="仿宋" w:eastAsia="仿宋" w:cs="仿宋"/>
          <w:spacing w:val="7"/>
          <w:sz w:val="31"/>
          <w:szCs w:val="31"/>
        </w:rPr>
        <w:t>较上年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增加</w:t>
      </w:r>
      <w:r>
        <w:rPr>
          <w:rFonts w:ascii="仿宋" w:hAnsi="仿宋" w:eastAsia="仿宋" w:cs="仿宋"/>
          <w:spacing w:val="7"/>
          <w:sz w:val="31"/>
          <w:szCs w:val="31"/>
        </w:rPr>
        <w:t>（减少）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，增长（下降）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</w:rPr>
        <w:t>。</w:t>
      </w:r>
    </w:p>
    <w:p w14:paraId="15E4ADF2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（二）“三公”经费财政拨款支出决算具体情况说明</w:t>
      </w:r>
    </w:p>
    <w:p w14:paraId="1D8F4CBB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年度“三公”经费财政拨款支出决算中，因公出国（境）费支出决算为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%；公务用车购置及运行费支出决算为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%；公务接待费支出决算为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万元，占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%。具体情况如下：</w:t>
      </w:r>
      <w:r>
        <w:rPr>
          <w:rFonts w:ascii="仿宋" w:hAnsi="仿宋" w:eastAsia="仿宋" w:cs="仿宋"/>
          <w:spacing w:val="7"/>
          <w:sz w:val="31"/>
          <w:szCs w:val="31"/>
        </w:rPr>
        <w:tab/>
      </w:r>
    </w:p>
    <w:p w14:paraId="652F4E2B">
      <w:pPr>
        <w:numPr>
          <w:ilvl w:val="0"/>
          <w:numId w:val="3"/>
        </w:num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因公出国（境）费预算为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万元,支出</w:t>
      </w:r>
      <w:r>
        <w:rPr>
          <w:rFonts w:ascii="仿宋" w:hAnsi="仿宋" w:eastAsia="仿宋" w:cs="仿宋"/>
          <w:spacing w:val="7"/>
          <w:sz w:val="31"/>
          <w:szCs w:val="31"/>
        </w:rPr>
        <w:t>决算为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7"/>
          <w:sz w:val="31"/>
          <w:szCs w:val="31"/>
        </w:rPr>
        <w:t>完成预算的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</w:rPr>
        <w:t>，较</w:t>
      </w:r>
      <w:r>
        <w:rPr>
          <w:rFonts w:ascii="仿宋" w:hAnsi="仿宋" w:eastAsia="仿宋" w:cs="仿宋"/>
          <w:spacing w:val="7"/>
          <w:sz w:val="31"/>
          <w:szCs w:val="31"/>
        </w:rPr>
        <w:t>上年增加</w:t>
      </w:r>
      <w:r>
        <w:rPr>
          <w:rFonts w:hint="eastAsia" w:ascii="仿宋" w:hAnsi="仿宋" w:eastAsia="仿宋" w:cs="仿宋"/>
          <w:spacing w:val="7"/>
          <w:sz w:val="31"/>
          <w:szCs w:val="31"/>
        </w:rPr>
        <w:t>（减少</w:t>
      </w:r>
      <w:r>
        <w:rPr>
          <w:rFonts w:ascii="仿宋" w:hAnsi="仿宋" w:eastAsia="仿宋" w:cs="仿宋"/>
          <w:spacing w:val="7"/>
          <w:sz w:val="31"/>
          <w:szCs w:val="31"/>
        </w:rPr>
        <w:t>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，增长（下降）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</w:rPr>
        <w:t>。全年安排因公出国（境）团组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个，累计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人次。</w:t>
      </w:r>
    </w:p>
    <w:p w14:paraId="45DA8A88">
      <w:pPr>
        <w:numPr>
          <w:ilvl w:val="0"/>
          <w:numId w:val="3"/>
        </w:num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公务用车购置及运行费预算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支出决算</w:t>
      </w:r>
      <w:r>
        <w:rPr>
          <w:rFonts w:ascii="仿宋" w:hAnsi="仿宋" w:eastAsia="仿宋" w:cs="仿宋"/>
          <w:spacing w:val="7"/>
          <w:sz w:val="31"/>
          <w:szCs w:val="31"/>
        </w:rPr>
        <w:t>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7"/>
          <w:sz w:val="31"/>
          <w:szCs w:val="31"/>
        </w:rPr>
        <w:t>完成预算的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pacing w:val="7"/>
          <w:sz w:val="31"/>
          <w:szCs w:val="31"/>
        </w:rPr>
        <w:t>较上年增加（减少）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增长</w:t>
      </w:r>
      <w:r>
        <w:rPr>
          <w:rFonts w:ascii="仿宋" w:hAnsi="仿宋" w:eastAsia="仿宋" w:cs="仿宋"/>
          <w:spacing w:val="7"/>
          <w:sz w:val="31"/>
          <w:szCs w:val="31"/>
        </w:rPr>
        <w:t>（下降）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其中：</w:t>
      </w:r>
    </w:p>
    <w:p w14:paraId="3C25BA9F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公务用车购置支出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万元。</w:t>
      </w:r>
    </w:p>
    <w:p w14:paraId="5DB25E27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公务用车运行支出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万元。截至</w:t>
      </w:r>
      <w:r>
        <w:rPr>
          <w:rFonts w:ascii="仿宋" w:hAnsi="仿宋" w:eastAsia="仿宋" w:cs="仿宋"/>
          <w:spacing w:val="7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7"/>
          <w:sz w:val="31"/>
          <w:szCs w:val="31"/>
        </w:rPr>
        <w:t>年12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月</w:t>
      </w:r>
      <w:r>
        <w:rPr>
          <w:rFonts w:ascii="仿宋" w:hAnsi="仿宋" w:eastAsia="仿宋" w:cs="仿宋"/>
          <w:spacing w:val="7"/>
          <w:sz w:val="31"/>
          <w:szCs w:val="31"/>
        </w:rPr>
        <w:t>31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日，开支财政拨款的公务用车保有量为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辆,公务</w:t>
      </w:r>
      <w:r>
        <w:rPr>
          <w:rFonts w:ascii="仿宋" w:hAnsi="仿宋" w:eastAsia="仿宋" w:cs="仿宋"/>
          <w:spacing w:val="7"/>
          <w:sz w:val="31"/>
          <w:szCs w:val="31"/>
        </w:rPr>
        <w:t>用车购置数为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辆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r>
        <w:rPr>
          <w:rFonts w:hint="eastAsia" w:ascii="仿宋" w:hAnsi="仿宋" w:eastAsia="仿宋" w:cs="仿宋"/>
          <w:spacing w:val="7"/>
          <w:sz w:val="31"/>
          <w:szCs w:val="31"/>
        </w:rPr>
        <w:t xml:space="preserve"> </w:t>
      </w:r>
    </w:p>
    <w:p w14:paraId="24ECB710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公务接待费</w:t>
      </w:r>
      <w:r>
        <w:rPr>
          <w:rFonts w:ascii="仿宋" w:hAnsi="仿宋" w:eastAsia="仿宋" w:cs="仿宋"/>
          <w:spacing w:val="7"/>
          <w:sz w:val="31"/>
          <w:szCs w:val="31"/>
        </w:rPr>
        <w:t>预算为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</w:rPr>
        <w:t>支出决算</w:t>
      </w:r>
      <w:r>
        <w:rPr>
          <w:rFonts w:ascii="仿宋" w:hAnsi="仿宋" w:eastAsia="仿宋" w:cs="仿宋"/>
          <w:spacing w:val="7"/>
          <w:sz w:val="31"/>
          <w:szCs w:val="31"/>
        </w:rPr>
        <w:t>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7"/>
          <w:sz w:val="31"/>
          <w:szCs w:val="31"/>
        </w:rPr>
        <w:t>完成预算的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31"/>
          <w:szCs w:val="31"/>
        </w:rPr>
        <w:t>%</w:t>
      </w:r>
      <w:r>
        <w:rPr>
          <w:rFonts w:hint="eastAsia"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pacing w:val="7"/>
          <w:sz w:val="31"/>
          <w:szCs w:val="31"/>
        </w:rPr>
        <w:t>较上年增加（减少）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，增长（下降）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%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7"/>
          <w:sz w:val="31"/>
          <w:szCs w:val="31"/>
        </w:rPr>
        <w:t>其中：</w:t>
      </w:r>
    </w:p>
    <w:p w14:paraId="238B7784">
      <w:pPr>
        <w:spacing w:before="53" w:line="367" w:lineRule="auto"/>
        <w:ind w:left="29" w:right="98" w:firstLine="643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外宾接待支出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万元。全年共接待国（境）外来访团组数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个、来访外宾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人次（不包括陪同人员）。</w:t>
      </w:r>
    </w:p>
    <w:p w14:paraId="74104F38">
      <w:pPr>
        <w:spacing w:before="53" w:line="367" w:lineRule="auto"/>
        <w:ind w:left="29" w:right="98" w:firstLine="643"/>
        <w:jc w:val="both"/>
        <w:rPr>
          <w:rFonts w:hint="default" w:ascii="宋体" w:hAnsi="宋体" w:eastAsia="宋体" w:cs="宋体"/>
          <w:spacing w:val="3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</w:rPr>
        <w:t>其他国内公务接待支出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万元。全年共接待国内来访团组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个、来宾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7"/>
          <w:sz w:val="31"/>
          <w:szCs w:val="31"/>
        </w:rPr>
        <w:t>人次（不包括陪同人员）。</w:t>
      </w:r>
    </w:p>
    <w:p w14:paraId="7AB44E2E">
      <w:pPr>
        <w:spacing w:before="101" w:line="224" w:lineRule="auto"/>
        <w:ind w:left="750"/>
        <w:outlineLvl w:val="3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十、关于</w:t>
      </w:r>
      <w:r>
        <w:rPr>
          <w:rFonts w:ascii="黑体" w:hAnsi="黑体" w:eastAsia="黑体" w:cs="黑体"/>
          <w:color w:val="auto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6"/>
          <w:sz w:val="31"/>
          <w:szCs w:val="31"/>
        </w:rPr>
        <w:t>2023</w:t>
      </w:r>
      <w:r>
        <w:rPr>
          <w:rFonts w:ascii="黑体" w:hAnsi="黑体" w:eastAsia="黑体" w:cs="黑体"/>
          <w:color w:val="auto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color w:val="auto"/>
          <w:spacing w:val="6"/>
          <w:sz w:val="31"/>
          <w:szCs w:val="31"/>
        </w:rPr>
        <w:t>年度绩效评价情况说明</w:t>
      </w:r>
    </w:p>
    <w:p w14:paraId="4288089A">
      <w:pPr>
        <w:spacing w:before="246" w:line="366" w:lineRule="auto"/>
        <w:ind w:left="346" w:leftChars="165" w:firstLine="400" w:firstLineChars="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一）绩效评价工作开展情况。绩效评价工作开展情况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说明为：根据预算绩效管理要求，本部门组织对 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2023 </w:t>
      </w:r>
      <w:r>
        <w:rPr>
          <w:rFonts w:ascii="仿宋" w:hAnsi="仿宋" w:eastAsia="仿宋" w:cs="仿宋"/>
          <w:spacing w:val="8"/>
          <w:sz w:val="31"/>
          <w:szCs w:val="31"/>
        </w:rPr>
        <w:t>年度</w:t>
      </w:r>
      <w:r>
        <w:rPr>
          <w:rFonts w:ascii="仿宋" w:hAnsi="仿宋" w:eastAsia="仿宋" w:cs="仿宋"/>
          <w:spacing w:val="9"/>
          <w:sz w:val="31"/>
          <w:szCs w:val="31"/>
        </w:rPr>
        <w:t>一般公共预算项目支出全面开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展绩效自评，其中，一级项目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个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涉及资金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42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；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一次性项目2个，涉及金额20.72万元。2023年项目支出涉及资金共62.72万元。</w:t>
      </w:r>
    </w:p>
    <w:p w14:paraId="632B2788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6" w:lineRule="auto"/>
        <w:ind w:left="0" w:right="0" w:firstLine="624"/>
        <w:textAlignment w:val="baseline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项目绩效自评结果。</w:t>
      </w:r>
      <w:r>
        <w:rPr>
          <w:rFonts w:hint="eastAsia" w:ascii="仿宋" w:hAnsi="仿宋" w:eastAsia="仿宋"/>
          <w:color w:val="auto"/>
          <w:sz w:val="32"/>
          <w:lang w:eastAsia="zh-CN"/>
        </w:rPr>
        <w:t>所属事业单位社保经费</w:t>
      </w:r>
      <w:r>
        <w:rPr>
          <w:rFonts w:hint="eastAsia" w:eastAsia="仿宋_GB2312"/>
          <w:color w:val="auto"/>
          <w:sz w:val="32"/>
          <w:szCs w:val="32"/>
        </w:rPr>
        <w:t>项目</w:t>
      </w:r>
      <w:r>
        <w:rPr>
          <w:rFonts w:ascii="仿宋" w:hAnsi="仿宋" w:eastAsia="仿宋" w:cs="仿宋"/>
          <w:spacing w:val="8"/>
          <w:sz w:val="31"/>
          <w:szCs w:val="31"/>
        </w:rPr>
        <w:t>绩效自评情况：根据年初设定的绩效目</w:t>
      </w:r>
      <w:r>
        <w:rPr>
          <w:rFonts w:ascii="仿宋" w:hAnsi="仿宋" w:eastAsia="仿宋" w:cs="仿宋"/>
          <w:spacing w:val="7"/>
          <w:sz w:val="31"/>
          <w:szCs w:val="31"/>
        </w:rPr>
        <w:t>标</w:t>
      </w:r>
      <w:r>
        <w:rPr>
          <w:rFonts w:ascii="仿宋" w:hAnsi="仿宋" w:eastAsia="仿宋" w:cs="仿宋"/>
          <w:spacing w:val="-4"/>
          <w:sz w:val="31"/>
          <w:szCs w:val="31"/>
        </w:rPr>
        <w:t>，项目绩效自评得分为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99.8</w:t>
      </w:r>
      <w:r>
        <w:rPr>
          <w:rFonts w:ascii="仿宋" w:hAnsi="仿宋" w:eastAsia="仿宋" w:cs="仿宋"/>
          <w:spacing w:val="-4"/>
          <w:sz w:val="31"/>
          <w:szCs w:val="31"/>
        </w:rPr>
        <w:t>分。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该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项目全年预算数为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42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万元，执行数为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42</w:t>
      </w:r>
      <w:r>
        <w:rPr>
          <w:rFonts w:ascii="仿宋" w:hAnsi="仿宋" w:eastAsia="仿宋" w:cs="仿宋"/>
          <w:spacing w:val="-4"/>
          <w:sz w:val="31"/>
          <w:szCs w:val="31"/>
        </w:rPr>
        <w:t>万元，完成预算的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100</w:t>
      </w:r>
      <w:r>
        <w:rPr>
          <w:rFonts w:ascii="仿宋" w:hAnsi="仿宋" w:eastAsia="仿宋" w:cs="仿宋"/>
          <w:spacing w:val="-4"/>
          <w:sz w:val="31"/>
          <w:szCs w:val="31"/>
        </w:rPr>
        <w:t>%。项目绩效目标完成情况：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及时缴纳文化宫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帮扶中心等人员各类保险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spacing w:val="-1"/>
          <w:sz w:val="31"/>
          <w:szCs w:val="31"/>
        </w:rPr>
        <w:t>发</w:t>
      </w:r>
      <w:r>
        <w:rPr>
          <w:rFonts w:ascii="仿宋" w:hAnsi="仿宋" w:eastAsia="仿宋" w:cs="仿宋"/>
          <w:spacing w:val="-4"/>
          <w:sz w:val="31"/>
          <w:szCs w:val="31"/>
        </w:rPr>
        <w:t>现的主要问题及原因：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提高职工的满意度。</w:t>
      </w:r>
      <w:r>
        <w:rPr>
          <w:rFonts w:ascii="仿宋" w:hAnsi="仿宋" w:eastAsia="仿宋" w:cs="仿宋"/>
          <w:spacing w:val="-4"/>
          <w:sz w:val="31"/>
          <w:szCs w:val="31"/>
        </w:rPr>
        <w:t>下一步改进措施：一是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按时缴纳社保经费</w:t>
      </w:r>
      <w:r>
        <w:rPr>
          <w:rFonts w:ascii="仿宋" w:hAnsi="仿宋" w:eastAsia="仿宋" w:cs="仿宋"/>
          <w:spacing w:val="-4"/>
          <w:sz w:val="31"/>
          <w:szCs w:val="31"/>
        </w:rPr>
        <w:t>；二是</w:t>
      </w:r>
      <w:r>
        <w:rPr>
          <w:rFonts w:hint="eastAsia" w:ascii="仿宋" w:hAnsi="仿宋" w:eastAsia="仿宋" w:cs="仿宋"/>
          <w:spacing w:val="-4"/>
          <w:sz w:val="31"/>
          <w:szCs w:val="31"/>
          <w:lang w:eastAsia="zh-CN"/>
        </w:rPr>
        <w:t>提高职工的满意度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FD273F8">
      <w:pPr>
        <w:keepNext w:val="0"/>
        <w:keepLines w:val="0"/>
        <w:pageBreakBefore w:val="0"/>
        <w:widowControl/>
        <w:numPr>
          <w:ilvl w:val="0"/>
          <w:numId w:val="4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56" w:lineRule="auto"/>
        <w:ind w:left="0" w:right="0" w:firstLine="624"/>
        <w:textAlignment w:val="baseline"/>
        <w:rPr>
          <w:rFonts w:hint="default" w:ascii="仿宋" w:hAnsi="仿宋" w:eastAsia="仿宋" w:cs="仿宋"/>
          <w:spacing w:val="5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4"/>
          <w:sz w:val="31"/>
          <w:szCs w:val="31"/>
        </w:rPr>
        <w:t>部门评价结果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。该项目绩效目标完成情况绩效目标完成情况各项指标</w:t>
      </w:r>
      <w:r>
        <w:rPr>
          <w:rFonts w:hint="eastAsia" w:ascii="仿宋" w:hAnsi="仿宋" w:eastAsia="仿宋" w:cs="仿宋"/>
          <w:spacing w:val="4"/>
          <w:sz w:val="31"/>
          <w:szCs w:val="31"/>
          <w:lang w:val="en-US" w:eastAsia="zh-CN"/>
        </w:rPr>
        <w:t>均达到了预期值，使用情况良好。</w:t>
      </w:r>
    </w:p>
    <w:p w14:paraId="6994D69B">
      <w:pPr>
        <w:spacing w:before="100" w:line="224" w:lineRule="auto"/>
        <w:ind w:left="671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color w:val="auto"/>
          <w:spacing w:val="6"/>
          <w:sz w:val="31"/>
          <w:szCs w:val="31"/>
        </w:rPr>
        <w:t>十一、其他重要事项情况说明</w:t>
      </w:r>
    </w:p>
    <w:p w14:paraId="5BA59F45">
      <w:pPr>
        <w:spacing w:before="248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一）机关运行经费执行情况说明</w:t>
      </w:r>
    </w:p>
    <w:p w14:paraId="628A168D">
      <w:pPr>
        <w:spacing w:before="251" w:line="357" w:lineRule="auto"/>
        <w:ind w:left="19" w:right="170" w:firstLine="652"/>
        <w:rPr>
          <w:rFonts w:ascii="仿宋" w:hAnsi="仿宋" w:eastAsia="仿宋" w:cs="仿宋"/>
          <w:spacing w:val="-4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2023</w:t>
      </w:r>
      <w:r>
        <w:rPr>
          <w:rFonts w:ascii="仿宋" w:hAnsi="仿宋" w:eastAsia="仿宋" w:cs="仿宋"/>
          <w:spacing w:val="7"/>
          <w:sz w:val="31"/>
          <w:szCs w:val="31"/>
        </w:rPr>
        <w:t>年度机关运行经费支出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101.2</w:t>
      </w:r>
      <w:r>
        <w:rPr>
          <w:rFonts w:ascii="仿宋" w:hAnsi="仿宋" w:eastAsia="仿宋" w:cs="仿宋"/>
          <w:spacing w:val="7"/>
          <w:sz w:val="31"/>
          <w:szCs w:val="31"/>
        </w:rPr>
        <w:t>万元，较</w:t>
      </w:r>
      <w:r>
        <w:rPr>
          <w:rFonts w:ascii="宋体" w:hAnsi="宋体" w:eastAsia="宋体" w:cs="宋体"/>
          <w:spacing w:val="7"/>
          <w:sz w:val="31"/>
          <w:szCs w:val="31"/>
        </w:rPr>
        <w:t>2022</w:t>
      </w:r>
      <w:r>
        <w:rPr>
          <w:rFonts w:ascii="仿宋" w:hAnsi="仿宋" w:eastAsia="仿宋" w:cs="仿宋"/>
          <w:spacing w:val="7"/>
          <w:sz w:val="31"/>
          <w:szCs w:val="31"/>
        </w:rPr>
        <w:t>年度增加</w:t>
      </w:r>
      <w:r>
        <w:rPr>
          <w:rFonts w:hint="eastAsia" w:ascii="仿宋" w:hAnsi="仿宋" w:eastAsia="仿宋" w:cs="仿宋"/>
          <w:spacing w:val="14"/>
          <w:sz w:val="31"/>
          <w:szCs w:val="31"/>
          <w:lang w:val="en-US" w:eastAsia="zh-CN"/>
        </w:rPr>
        <w:t>4.58</w:t>
      </w:r>
      <w:r>
        <w:rPr>
          <w:rFonts w:ascii="仿宋" w:hAnsi="仿宋" w:eastAsia="仿宋" w:cs="仿宋"/>
          <w:spacing w:val="-4"/>
          <w:sz w:val="31"/>
          <w:szCs w:val="31"/>
        </w:rPr>
        <w:t>万元，增长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4.74</w:t>
      </w:r>
      <w:r>
        <w:rPr>
          <w:rFonts w:ascii="宋体" w:hAnsi="宋体" w:eastAsia="宋体" w:cs="宋体"/>
          <w:spacing w:val="-4"/>
          <w:sz w:val="31"/>
          <w:szCs w:val="31"/>
        </w:rPr>
        <w:t>%</w:t>
      </w:r>
      <w:r>
        <w:rPr>
          <w:rFonts w:ascii="仿宋" w:hAnsi="仿宋" w:eastAsia="仿宋" w:cs="仿宋"/>
          <w:spacing w:val="-4"/>
          <w:sz w:val="31"/>
          <w:szCs w:val="31"/>
        </w:rPr>
        <w:t>，主要是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差旅费增加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56B05055">
      <w:pPr>
        <w:spacing w:before="48" w:line="224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（二）政府采购支出情况说明</w:t>
      </w:r>
    </w:p>
    <w:p w14:paraId="32441694">
      <w:pPr>
        <w:spacing w:before="249" w:line="368" w:lineRule="auto"/>
        <w:ind w:left="29" w:right="24" w:firstLine="641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2023</w:t>
      </w:r>
      <w:r>
        <w:rPr>
          <w:rFonts w:ascii="仿宋" w:hAnsi="仿宋" w:eastAsia="仿宋" w:cs="仿宋"/>
          <w:spacing w:val="8"/>
          <w:sz w:val="31"/>
          <w:szCs w:val="31"/>
        </w:rPr>
        <w:t>年度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德惠市总工会无</w:t>
      </w:r>
      <w:r>
        <w:rPr>
          <w:rFonts w:ascii="仿宋" w:hAnsi="仿宋" w:eastAsia="仿宋" w:cs="仿宋"/>
          <w:spacing w:val="8"/>
          <w:sz w:val="31"/>
          <w:szCs w:val="31"/>
        </w:rPr>
        <w:t>政府采购支出</w:t>
      </w:r>
      <w:r>
        <w:rPr>
          <w:rFonts w:ascii="仿宋" w:hAnsi="仿宋" w:eastAsia="仿宋" w:cs="仿宋"/>
          <w:spacing w:val="2"/>
          <w:sz w:val="31"/>
          <w:szCs w:val="31"/>
        </w:rPr>
        <w:t>。</w:t>
      </w:r>
    </w:p>
    <w:p w14:paraId="711D6DF0">
      <w:pPr>
        <w:spacing w:before="48" w:line="224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（三）国有资产占用情况说明</w:t>
      </w:r>
    </w:p>
    <w:p w14:paraId="6825B8F7">
      <w:pPr>
        <w:spacing w:before="249" w:line="368" w:lineRule="auto"/>
        <w:ind w:left="29" w:right="24" w:firstLine="641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sectPr>
          <w:footerReference r:id="rId20" w:type="default"/>
          <w:pgSz w:w="11907" w:h="16839"/>
          <w:pgMar w:top="1431" w:right="1774" w:bottom="1153" w:left="1785" w:header="0" w:footer="965" w:gutter="0"/>
          <w:cols w:space="720" w:num="1"/>
        </w:sect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截至2023年12月31日，德惠市总工会无车辆。</w:t>
      </w:r>
    </w:p>
    <w:p w14:paraId="69184177">
      <w:pPr>
        <w:spacing w:before="225" w:line="443" w:lineRule="exact"/>
        <w:ind w:left="218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第四部分</w:t>
      </w:r>
      <w:r>
        <w:rPr>
          <w:rFonts w:ascii="微软雅黑" w:hAnsi="微软雅黑" w:eastAsia="微软雅黑" w:cs="微软雅黑"/>
          <w:spacing w:val="24"/>
          <w:position w:val="-2"/>
          <w:sz w:val="44"/>
          <w:szCs w:val="44"/>
        </w:rPr>
        <w:t xml:space="preserve">   </w:t>
      </w:r>
      <w:r>
        <w:rPr>
          <w:rFonts w:ascii="微软雅黑" w:hAnsi="微软雅黑" w:eastAsia="微软雅黑" w:cs="微软雅黑"/>
          <w:spacing w:val="-4"/>
          <w:position w:val="-2"/>
          <w:sz w:val="44"/>
          <w:szCs w:val="44"/>
        </w:rPr>
        <w:t>名词解释</w:t>
      </w:r>
    </w:p>
    <w:p w14:paraId="41421FBD">
      <w:pPr>
        <w:pStyle w:val="2"/>
        <w:spacing w:line="315" w:lineRule="auto"/>
      </w:pPr>
    </w:p>
    <w:p w14:paraId="72FBE5B5">
      <w:pPr>
        <w:pStyle w:val="2"/>
        <w:spacing w:line="315" w:lineRule="auto"/>
      </w:pPr>
    </w:p>
    <w:p w14:paraId="5D305D9E">
      <w:pPr>
        <w:pStyle w:val="2"/>
        <w:spacing w:line="315" w:lineRule="auto"/>
      </w:pPr>
      <w:bookmarkStart w:id="0" w:name="_GoBack"/>
      <w:bookmarkEnd w:id="0"/>
    </w:p>
    <w:p w14:paraId="577CAC78">
      <w:pPr>
        <w:spacing w:before="100" w:line="297" w:lineRule="auto"/>
        <w:ind w:left="39" w:right="1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一、财政拨款收入：</w:t>
      </w:r>
      <w:r>
        <w:rPr>
          <w:rFonts w:ascii="仿宋" w:hAnsi="仿宋" w:eastAsia="仿宋" w:cs="仿宋"/>
          <w:spacing w:val="6"/>
          <w:sz w:val="31"/>
          <w:szCs w:val="31"/>
        </w:rPr>
        <w:t>指单位从同级财政部门取得的财政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预算资金。</w:t>
      </w:r>
    </w:p>
    <w:p w14:paraId="36FA6714">
      <w:pPr>
        <w:spacing w:before="54" w:line="364" w:lineRule="auto"/>
        <w:ind w:left="29" w:right="153" w:firstLine="654"/>
        <w:rPr>
          <w:rFonts w:ascii="仿宋" w:hAnsi="仿宋" w:eastAsia="仿宋" w:cs="仿宋"/>
          <w:spacing w:val="6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二、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基本支出：</w:t>
      </w:r>
      <w:r>
        <w:rPr>
          <w:rFonts w:ascii="仿宋" w:hAnsi="仿宋" w:eastAsia="仿宋" w:cs="仿宋"/>
          <w:spacing w:val="7"/>
          <w:sz w:val="31"/>
          <w:szCs w:val="31"/>
        </w:rPr>
        <w:t>指为保障机构正常运转、完成日常工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作任务而发生的人员支出和公用支出。</w:t>
      </w:r>
    </w:p>
    <w:p w14:paraId="4B61DB81">
      <w:pPr>
        <w:spacing w:before="54" w:line="364" w:lineRule="auto"/>
        <w:ind w:left="29" w:right="153" w:firstLine="654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7"/>
          <w:sz w:val="31"/>
          <w:szCs w:val="31"/>
          <w:lang w:eastAsia="zh-CN"/>
        </w:rPr>
        <w:t>三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、项目支出：</w:t>
      </w:r>
      <w:r>
        <w:rPr>
          <w:rFonts w:ascii="仿宋" w:hAnsi="仿宋" w:eastAsia="仿宋" w:cs="仿宋"/>
          <w:spacing w:val="7"/>
          <w:sz w:val="31"/>
          <w:szCs w:val="31"/>
        </w:rPr>
        <w:t>指在基本支出之外为完成特定行政任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务或事业发展目标所发生的支出。</w:t>
      </w:r>
    </w:p>
    <w:p w14:paraId="727444B3">
      <w:pPr>
        <w:spacing w:before="48" w:line="347" w:lineRule="auto"/>
        <w:ind w:left="26" w:right="93" w:firstLine="656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pacing w:val="7"/>
          <w:sz w:val="31"/>
          <w:szCs w:val="31"/>
          <w:lang w:eastAsia="zh-CN"/>
        </w:rPr>
        <w:t>四</w:t>
      </w: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、机关运行经费：</w:t>
      </w:r>
      <w:r>
        <w:rPr>
          <w:rFonts w:ascii="仿宋" w:hAnsi="仿宋" w:eastAsia="仿宋" w:cs="仿宋"/>
          <w:spacing w:val="7"/>
          <w:sz w:val="31"/>
          <w:szCs w:val="31"/>
        </w:rPr>
        <w:t>指为保障行政单位（包</w:t>
      </w:r>
      <w:r>
        <w:rPr>
          <w:rFonts w:ascii="仿宋" w:hAnsi="仿宋" w:eastAsia="仿宋" w:cs="仿宋"/>
          <w:spacing w:val="6"/>
          <w:sz w:val="31"/>
          <w:szCs w:val="31"/>
        </w:rPr>
        <w:t>括参照公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务员法管理的事业单位）运行用于购买货物和服务的</w:t>
      </w:r>
      <w:r>
        <w:rPr>
          <w:rFonts w:ascii="仿宋" w:hAnsi="仿宋" w:eastAsia="仿宋" w:cs="仿宋"/>
          <w:spacing w:val="8"/>
          <w:sz w:val="31"/>
          <w:szCs w:val="31"/>
        </w:rPr>
        <w:t>各项资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金，包括办公费、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印刷费、邮电费、差旅费、会议费、福利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费、日常维修费、专用材料及一般设备购置费、</w:t>
      </w:r>
      <w:r>
        <w:rPr>
          <w:rFonts w:ascii="仿宋" w:hAnsi="仿宋" w:eastAsia="仿宋" w:cs="仿宋"/>
          <w:spacing w:val="8"/>
          <w:sz w:val="31"/>
          <w:szCs w:val="31"/>
        </w:rPr>
        <w:t>办公用房水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电费、办公用房取暖费、办公用房物业管理费、</w:t>
      </w:r>
      <w:r>
        <w:rPr>
          <w:rFonts w:ascii="仿宋" w:hAnsi="仿宋" w:eastAsia="仿宋" w:cs="仿宋"/>
          <w:spacing w:val="8"/>
          <w:sz w:val="31"/>
          <w:szCs w:val="31"/>
        </w:rPr>
        <w:t>公务用车运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行维护费以及其他费用。</w:t>
      </w:r>
    </w:p>
    <w:p w14:paraId="5DB0FD16">
      <w:pPr>
        <w:spacing w:before="249" w:line="355" w:lineRule="auto"/>
        <w:ind w:left="26" w:right="98" w:firstLine="648"/>
        <w:rPr>
          <w:rFonts w:ascii="仿宋" w:hAnsi="仿宋" w:eastAsia="仿宋" w:cs="仿宋"/>
          <w:sz w:val="31"/>
          <w:szCs w:val="31"/>
        </w:rPr>
      </w:pPr>
    </w:p>
    <w:sectPr>
      <w:footerReference r:id="rId21" w:type="default"/>
      <w:pgSz w:w="11907" w:h="16839"/>
      <w:pgMar w:top="1431" w:right="1705" w:bottom="1153" w:left="1785" w:header="0" w:footer="9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E0B3E">
    <w:pPr>
      <w:spacing w:line="177" w:lineRule="auto"/>
      <w:ind w:left="413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F0B50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2C418">
    <w:pPr>
      <w:spacing w:line="177" w:lineRule="auto"/>
      <w:ind w:left="409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8"/>
        <w:sz w:val="21"/>
        <w:szCs w:val="21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654DB">
    <w:pPr>
      <w:spacing w:line="177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7257C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0635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EA125">
    <w:pPr>
      <w:spacing w:line="176" w:lineRule="auto"/>
      <w:ind w:left="40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6"/>
        <w:sz w:val="21"/>
        <w:szCs w:val="21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071BE">
    <w:pPr>
      <w:spacing w:line="177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19325">
    <w:pPr>
      <w:spacing w:line="176" w:lineRule="auto"/>
      <w:ind w:left="406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1"/>
        <w:sz w:val="21"/>
        <w:szCs w:val="21"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4B727">
    <w:pPr>
      <w:spacing w:line="177" w:lineRule="auto"/>
      <w:ind w:left="411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0A04"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64D9F">
    <w:pPr>
      <w:spacing w:line="177" w:lineRule="auto"/>
      <w:ind w:left="411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C7610">
    <w:pPr>
      <w:spacing w:line="174" w:lineRule="auto"/>
      <w:ind w:left="41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6FED6">
    <w:pPr>
      <w:spacing w:line="176" w:lineRule="auto"/>
      <w:ind w:left="412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8466F">
    <w:pPr>
      <w:spacing w:line="174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28B1A">
    <w:pPr>
      <w:spacing w:line="176" w:lineRule="auto"/>
      <w:ind w:left="412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F9590">
    <w:pPr>
      <w:spacing w:line="176" w:lineRule="auto"/>
      <w:ind w:left="412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EE964"/>
    <w:multiLevelType w:val="singleLevel"/>
    <w:tmpl w:val="B0BEE964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ECF1C21B"/>
    <w:multiLevelType w:val="singleLevel"/>
    <w:tmpl w:val="ECF1C2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62DBDC"/>
    <w:multiLevelType w:val="singleLevel"/>
    <w:tmpl w:val="1F62DBD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5FE4197"/>
    <w:multiLevelType w:val="singleLevel"/>
    <w:tmpl w:val="65FE4197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VlOGViNjdjNmFkMWVhZTNlMmM0ZjI3OWQ3YTZjNGIifQ=="/>
  </w:docVars>
  <w:rsids>
    <w:rsidRoot w:val="00000000"/>
    <w:rsid w:val="00082A76"/>
    <w:rsid w:val="013803AD"/>
    <w:rsid w:val="01E11EA1"/>
    <w:rsid w:val="02BD75DA"/>
    <w:rsid w:val="02E62FD5"/>
    <w:rsid w:val="02F079B0"/>
    <w:rsid w:val="036E4986"/>
    <w:rsid w:val="03FE5666"/>
    <w:rsid w:val="044E498E"/>
    <w:rsid w:val="04B94DA9"/>
    <w:rsid w:val="05CF1AFF"/>
    <w:rsid w:val="06224324"/>
    <w:rsid w:val="067F52D3"/>
    <w:rsid w:val="07D7113E"/>
    <w:rsid w:val="07E15B19"/>
    <w:rsid w:val="082B3B44"/>
    <w:rsid w:val="0858227F"/>
    <w:rsid w:val="0865499C"/>
    <w:rsid w:val="08C6543B"/>
    <w:rsid w:val="08D86F1C"/>
    <w:rsid w:val="08F16230"/>
    <w:rsid w:val="0A256191"/>
    <w:rsid w:val="0A3A5FC1"/>
    <w:rsid w:val="0AB539B9"/>
    <w:rsid w:val="0AE047FE"/>
    <w:rsid w:val="0B0C515A"/>
    <w:rsid w:val="0B4D1E43"/>
    <w:rsid w:val="0B626F71"/>
    <w:rsid w:val="0B674587"/>
    <w:rsid w:val="0BBC48D3"/>
    <w:rsid w:val="0BE61950"/>
    <w:rsid w:val="0DB22432"/>
    <w:rsid w:val="0F515C7A"/>
    <w:rsid w:val="0FF52AA9"/>
    <w:rsid w:val="0FFE195E"/>
    <w:rsid w:val="104C724D"/>
    <w:rsid w:val="110C03B1"/>
    <w:rsid w:val="129A3494"/>
    <w:rsid w:val="136A730B"/>
    <w:rsid w:val="138228A6"/>
    <w:rsid w:val="13EE1CEA"/>
    <w:rsid w:val="141379A2"/>
    <w:rsid w:val="14F926F4"/>
    <w:rsid w:val="15F0020B"/>
    <w:rsid w:val="168406E3"/>
    <w:rsid w:val="186A4CF2"/>
    <w:rsid w:val="18CB43A7"/>
    <w:rsid w:val="195425EF"/>
    <w:rsid w:val="1A2E78E0"/>
    <w:rsid w:val="1B9211AC"/>
    <w:rsid w:val="1F6C664B"/>
    <w:rsid w:val="1FFE1506"/>
    <w:rsid w:val="2153509C"/>
    <w:rsid w:val="216E6218"/>
    <w:rsid w:val="22763E52"/>
    <w:rsid w:val="2302130E"/>
    <w:rsid w:val="23735D67"/>
    <w:rsid w:val="24262DDA"/>
    <w:rsid w:val="246066CF"/>
    <w:rsid w:val="25253091"/>
    <w:rsid w:val="252B52A1"/>
    <w:rsid w:val="257F6C45"/>
    <w:rsid w:val="26D83FCA"/>
    <w:rsid w:val="28125B4F"/>
    <w:rsid w:val="28510ABB"/>
    <w:rsid w:val="2987256D"/>
    <w:rsid w:val="29F574D6"/>
    <w:rsid w:val="2A3A75DF"/>
    <w:rsid w:val="2A992557"/>
    <w:rsid w:val="2BBD4580"/>
    <w:rsid w:val="2BC058C2"/>
    <w:rsid w:val="2BCC070B"/>
    <w:rsid w:val="2C5F77AE"/>
    <w:rsid w:val="2CDA29B3"/>
    <w:rsid w:val="2DC0604D"/>
    <w:rsid w:val="2E5C18EB"/>
    <w:rsid w:val="2E6B420B"/>
    <w:rsid w:val="2EE419D8"/>
    <w:rsid w:val="2F2F348A"/>
    <w:rsid w:val="2FFD0E93"/>
    <w:rsid w:val="30FC55EE"/>
    <w:rsid w:val="31674F0F"/>
    <w:rsid w:val="31C84AAA"/>
    <w:rsid w:val="31EF6F01"/>
    <w:rsid w:val="327B0795"/>
    <w:rsid w:val="34784F8C"/>
    <w:rsid w:val="34F605A6"/>
    <w:rsid w:val="35973B37"/>
    <w:rsid w:val="364C4922"/>
    <w:rsid w:val="36A1094A"/>
    <w:rsid w:val="3757357E"/>
    <w:rsid w:val="37654978"/>
    <w:rsid w:val="37980099"/>
    <w:rsid w:val="380373F4"/>
    <w:rsid w:val="3A836438"/>
    <w:rsid w:val="3A9C399E"/>
    <w:rsid w:val="3B021A53"/>
    <w:rsid w:val="3B190B4B"/>
    <w:rsid w:val="3BFB1032"/>
    <w:rsid w:val="3C073B87"/>
    <w:rsid w:val="3C535AE9"/>
    <w:rsid w:val="3C796AF5"/>
    <w:rsid w:val="3D8E3382"/>
    <w:rsid w:val="3E740EBA"/>
    <w:rsid w:val="3EC86B10"/>
    <w:rsid w:val="3F12422F"/>
    <w:rsid w:val="3FDD483D"/>
    <w:rsid w:val="3FEB6F5A"/>
    <w:rsid w:val="405C39B3"/>
    <w:rsid w:val="41676AB4"/>
    <w:rsid w:val="416F7716"/>
    <w:rsid w:val="417B60BB"/>
    <w:rsid w:val="42F73E67"/>
    <w:rsid w:val="43713C1A"/>
    <w:rsid w:val="43BA29DA"/>
    <w:rsid w:val="44074BA6"/>
    <w:rsid w:val="447F2366"/>
    <w:rsid w:val="45D93CF8"/>
    <w:rsid w:val="46496788"/>
    <w:rsid w:val="465F41FD"/>
    <w:rsid w:val="476953E6"/>
    <w:rsid w:val="47C6205A"/>
    <w:rsid w:val="47E0324F"/>
    <w:rsid w:val="47EA7AF7"/>
    <w:rsid w:val="481334F1"/>
    <w:rsid w:val="48FC21D7"/>
    <w:rsid w:val="49971F00"/>
    <w:rsid w:val="49BB7914"/>
    <w:rsid w:val="4A527BD5"/>
    <w:rsid w:val="4A6718D3"/>
    <w:rsid w:val="4BA6467C"/>
    <w:rsid w:val="4C1930A0"/>
    <w:rsid w:val="4CE4720A"/>
    <w:rsid w:val="4D64034B"/>
    <w:rsid w:val="4EA01857"/>
    <w:rsid w:val="4EE51018"/>
    <w:rsid w:val="50366645"/>
    <w:rsid w:val="50D650BC"/>
    <w:rsid w:val="513B13C3"/>
    <w:rsid w:val="517B5C63"/>
    <w:rsid w:val="51915487"/>
    <w:rsid w:val="51BF3DA2"/>
    <w:rsid w:val="51D830B6"/>
    <w:rsid w:val="52262073"/>
    <w:rsid w:val="523D116B"/>
    <w:rsid w:val="526C1DC5"/>
    <w:rsid w:val="530F48B5"/>
    <w:rsid w:val="53542C10"/>
    <w:rsid w:val="53F57F4F"/>
    <w:rsid w:val="54E3424B"/>
    <w:rsid w:val="54E87AB4"/>
    <w:rsid w:val="551B1C37"/>
    <w:rsid w:val="561843C9"/>
    <w:rsid w:val="5694488E"/>
    <w:rsid w:val="56B85264"/>
    <w:rsid w:val="57B465CE"/>
    <w:rsid w:val="57FD3876"/>
    <w:rsid w:val="58951D01"/>
    <w:rsid w:val="5A6C6A91"/>
    <w:rsid w:val="5AA004E9"/>
    <w:rsid w:val="5CEE378D"/>
    <w:rsid w:val="5D4E06D0"/>
    <w:rsid w:val="5D504448"/>
    <w:rsid w:val="5E4E7BBB"/>
    <w:rsid w:val="5F1A6ABC"/>
    <w:rsid w:val="5F217E4A"/>
    <w:rsid w:val="5FC84356"/>
    <w:rsid w:val="607D5686"/>
    <w:rsid w:val="60BA0556"/>
    <w:rsid w:val="60CA62C0"/>
    <w:rsid w:val="617E77D6"/>
    <w:rsid w:val="61E23861"/>
    <w:rsid w:val="62481B92"/>
    <w:rsid w:val="62541234"/>
    <w:rsid w:val="62BA6375"/>
    <w:rsid w:val="62FF4C6A"/>
    <w:rsid w:val="63302D52"/>
    <w:rsid w:val="64144421"/>
    <w:rsid w:val="64416899"/>
    <w:rsid w:val="65764C68"/>
    <w:rsid w:val="660109D5"/>
    <w:rsid w:val="675B2D96"/>
    <w:rsid w:val="676C6322"/>
    <w:rsid w:val="67BC2E06"/>
    <w:rsid w:val="67FE0E83"/>
    <w:rsid w:val="67FF7D1B"/>
    <w:rsid w:val="69990F25"/>
    <w:rsid w:val="6B96396E"/>
    <w:rsid w:val="6BB93D0A"/>
    <w:rsid w:val="6BE1738B"/>
    <w:rsid w:val="6BFD579B"/>
    <w:rsid w:val="6C054650"/>
    <w:rsid w:val="6C517895"/>
    <w:rsid w:val="6CDC7AA6"/>
    <w:rsid w:val="6CE8644B"/>
    <w:rsid w:val="6D3276C6"/>
    <w:rsid w:val="6E07347E"/>
    <w:rsid w:val="6EC6456A"/>
    <w:rsid w:val="6ECD2B0B"/>
    <w:rsid w:val="6F135DB2"/>
    <w:rsid w:val="6F7F0550"/>
    <w:rsid w:val="70B86135"/>
    <w:rsid w:val="713A4D9B"/>
    <w:rsid w:val="722220D8"/>
    <w:rsid w:val="724D0AFE"/>
    <w:rsid w:val="72C51166"/>
    <w:rsid w:val="733A1083"/>
    <w:rsid w:val="736305DA"/>
    <w:rsid w:val="74D3413A"/>
    <w:rsid w:val="75295853"/>
    <w:rsid w:val="756F3071"/>
    <w:rsid w:val="76004806"/>
    <w:rsid w:val="76EE0B02"/>
    <w:rsid w:val="7762504C"/>
    <w:rsid w:val="7819395D"/>
    <w:rsid w:val="78811502"/>
    <w:rsid w:val="79002D6F"/>
    <w:rsid w:val="791E4FA3"/>
    <w:rsid w:val="799B65F3"/>
    <w:rsid w:val="7A5B1073"/>
    <w:rsid w:val="7A6A66F1"/>
    <w:rsid w:val="7B4C5DF7"/>
    <w:rsid w:val="7B7422DA"/>
    <w:rsid w:val="7BBF2A6D"/>
    <w:rsid w:val="7CCA16C9"/>
    <w:rsid w:val="7DD722F0"/>
    <w:rsid w:val="7DDA593C"/>
    <w:rsid w:val="7E494870"/>
    <w:rsid w:val="7F743C80"/>
    <w:rsid w:val="7FBB3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10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3" Type="http://schemas.openxmlformats.org/officeDocument/2006/relationships/footnotes" Target="footnotes.xml"/><Relationship Id="rId29" Type="http://schemas.openxmlformats.org/officeDocument/2006/relationships/image" Target="media/image7.png"/><Relationship Id="rId28" Type="http://schemas.openxmlformats.org/officeDocument/2006/relationships/image" Target="media/image6.png"/><Relationship Id="rId27" Type="http://schemas.openxmlformats.org/officeDocument/2006/relationships/image" Target="media/image5.png"/><Relationship Id="rId26" Type="http://schemas.openxmlformats.org/officeDocument/2006/relationships/image" Target="media/image4.png"/><Relationship Id="rId25" Type="http://schemas.openxmlformats.org/officeDocument/2006/relationships/image" Target="media/image3.png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3344</Words>
  <Characters>3670</Characters>
  <TotalTime>34</TotalTime>
  <ScaleCrop>false</ScaleCrop>
  <LinksUpToDate>false</LinksUpToDate>
  <CharactersWithSpaces>3763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2024-08-20T12:29:00Z</dcterms:created>
  <dc:creator>王志强</dc:creator>
  <cp:lastModifiedBy>红红过</cp:lastModifiedBy>
  <dcterms:modified xsi:type="dcterms:W3CDTF">2024-09-13T02:36:29Z</dcterms:modified>
  <dc:title>2015年度部门决算公开模板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2024-08-20T12:29:24Z</vt:filetime>
  </property>
  <property fmtid="{D5CDD505-2E9C-101B-9397-08002B2CF9AE}" pid="4" name="KSOProductBuildVer">
    <vt:lpwstr>2052-12.1.0.17827</vt:lpwstr>
  </property>
  <property fmtid="{D5CDD505-2E9C-101B-9397-08002B2CF9AE}" pid="5" name="ICV">
    <vt:lpwstr>FBF1D15304C0408A931FD05E25098327_13</vt:lpwstr>
  </property>
</Properties>
</file>