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rPr>
      </w:pPr>
    </w:p>
    <w:p>
      <w:pPr>
        <w:rPr>
          <w:rFonts w:hint="eastAsia" w:ascii="仿宋" w:hAnsi="仿宋" w:eastAsia="仿宋"/>
        </w:rPr>
      </w:pPr>
    </w:p>
    <w:p>
      <w:pPr>
        <w:jc w:val="center"/>
        <w:rPr>
          <w:rFonts w:ascii="仿宋" w:hAnsi="仿宋" w:eastAsia="仿宋" w:cs="Arial"/>
          <w:sz w:val="44"/>
          <w:szCs w:val="44"/>
        </w:rPr>
      </w:pPr>
    </w:p>
    <w:p>
      <w:pPr>
        <w:jc w:val="center"/>
        <w:rPr>
          <w:rFonts w:ascii="仿宋" w:hAnsi="仿宋" w:eastAsia="仿宋" w:cs="Arial"/>
          <w:sz w:val="44"/>
          <w:szCs w:val="44"/>
        </w:rPr>
      </w:pPr>
    </w:p>
    <w:p>
      <w:pPr>
        <w:jc w:val="center"/>
        <w:rPr>
          <w:rFonts w:ascii="仿宋" w:hAnsi="仿宋" w:eastAsia="仿宋" w:cs="Arial"/>
          <w:sz w:val="44"/>
          <w:szCs w:val="44"/>
        </w:rPr>
      </w:pPr>
    </w:p>
    <w:p>
      <w:pPr>
        <w:jc w:val="center"/>
        <w:rPr>
          <w:rFonts w:ascii="仿宋" w:hAnsi="仿宋" w:eastAsia="仿宋" w:cs="Arial"/>
          <w:sz w:val="44"/>
          <w:szCs w:val="44"/>
        </w:rPr>
      </w:pPr>
    </w:p>
    <w:p>
      <w:pPr>
        <w:jc w:val="center"/>
        <w:rPr>
          <w:rFonts w:hint="eastAsia" w:ascii="仿宋" w:hAnsi="仿宋" w:eastAsia="仿宋" w:cs="Arial"/>
          <w:sz w:val="44"/>
          <w:szCs w:val="44"/>
        </w:rPr>
      </w:pPr>
      <w:r>
        <w:rPr>
          <w:rFonts w:hint="eastAsia" w:ascii="仿宋" w:hAnsi="仿宋" w:eastAsia="仿宋" w:cs="Arial"/>
          <w:sz w:val="44"/>
          <w:szCs w:val="44"/>
        </w:rPr>
        <w:t>202</w:t>
      </w:r>
      <w:r>
        <w:rPr>
          <w:rFonts w:hint="eastAsia" w:ascii="仿宋" w:hAnsi="仿宋" w:eastAsia="仿宋" w:cs="Arial"/>
          <w:sz w:val="44"/>
          <w:szCs w:val="44"/>
          <w:lang w:val="en-US" w:eastAsia="zh-CN"/>
        </w:rPr>
        <w:t>2</w:t>
      </w:r>
      <w:r>
        <w:rPr>
          <w:rFonts w:hint="eastAsia" w:ascii="仿宋" w:hAnsi="仿宋" w:eastAsia="仿宋" w:cs="Arial"/>
          <w:sz w:val="44"/>
          <w:szCs w:val="44"/>
        </w:rPr>
        <w:t>年度</w:t>
      </w:r>
    </w:p>
    <w:p>
      <w:pPr>
        <w:jc w:val="center"/>
        <w:rPr>
          <w:rFonts w:hint="eastAsia" w:ascii="仿宋" w:hAnsi="仿宋" w:eastAsia="仿宋" w:cs="Arial"/>
          <w:sz w:val="44"/>
          <w:szCs w:val="44"/>
        </w:rPr>
      </w:pPr>
    </w:p>
    <w:p>
      <w:pPr>
        <w:jc w:val="center"/>
        <w:rPr>
          <w:rFonts w:hint="eastAsia" w:ascii="仿宋" w:hAnsi="仿宋" w:eastAsia="仿宋" w:cs="Arial"/>
          <w:sz w:val="44"/>
          <w:szCs w:val="44"/>
        </w:rPr>
      </w:pPr>
      <w:r>
        <w:rPr>
          <w:rFonts w:hint="eastAsia" w:ascii="仿宋" w:hAnsi="仿宋" w:eastAsia="仿宋" w:cs="Arial"/>
          <w:sz w:val="44"/>
          <w:szCs w:val="44"/>
        </w:rPr>
        <w:t>德惠市米沙子镇中心小学部门决算</w:t>
      </w: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p>
    <w:p>
      <w:pPr>
        <w:jc w:val="center"/>
        <w:rPr>
          <w:rFonts w:hint="eastAsia" w:ascii="仿宋" w:hAnsi="仿宋" w:eastAsia="仿宋" w:cs="Arial"/>
          <w:sz w:val="44"/>
          <w:szCs w:val="44"/>
        </w:rPr>
      </w:pPr>
      <w:r>
        <w:rPr>
          <w:rFonts w:hint="eastAsia" w:ascii="仿宋" w:hAnsi="仿宋" w:eastAsia="仿宋" w:cs="Arial"/>
          <w:sz w:val="44"/>
          <w:szCs w:val="44"/>
        </w:rPr>
        <w:t>202</w:t>
      </w:r>
      <w:r>
        <w:rPr>
          <w:rFonts w:hint="eastAsia" w:ascii="仿宋" w:hAnsi="仿宋" w:eastAsia="仿宋" w:cs="Arial"/>
          <w:sz w:val="44"/>
          <w:szCs w:val="44"/>
          <w:lang w:val="en-US" w:eastAsia="zh-CN"/>
        </w:rPr>
        <w:t>3</w:t>
      </w:r>
      <w:r>
        <w:rPr>
          <w:rFonts w:hint="eastAsia" w:ascii="仿宋" w:hAnsi="仿宋" w:eastAsia="仿宋" w:cs="Arial"/>
          <w:sz w:val="44"/>
          <w:szCs w:val="44"/>
        </w:rPr>
        <w:t xml:space="preserve">年 </w:t>
      </w:r>
      <w:r>
        <w:rPr>
          <w:rFonts w:hint="eastAsia" w:ascii="仿宋" w:hAnsi="仿宋" w:eastAsia="仿宋" w:cs="Arial"/>
          <w:sz w:val="44"/>
          <w:szCs w:val="44"/>
          <w:lang w:val="en-US" w:eastAsia="zh-CN"/>
        </w:rPr>
        <w:t>11</w:t>
      </w:r>
      <w:r>
        <w:rPr>
          <w:rFonts w:hint="eastAsia" w:ascii="仿宋" w:hAnsi="仿宋" w:eastAsia="仿宋" w:cs="Arial"/>
          <w:sz w:val="44"/>
          <w:szCs w:val="44"/>
        </w:rPr>
        <w:t>月</w:t>
      </w:r>
      <w:r>
        <w:rPr>
          <w:rFonts w:hint="eastAsia" w:ascii="仿宋" w:hAnsi="仿宋" w:eastAsia="仿宋" w:cs="Arial"/>
          <w:sz w:val="44"/>
          <w:szCs w:val="44"/>
          <w:lang w:val="en-US" w:eastAsia="zh-CN"/>
        </w:rPr>
        <w:t>2</w:t>
      </w:r>
      <w:r>
        <w:rPr>
          <w:rFonts w:hint="eastAsia" w:ascii="仿宋" w:hAnsi="仿宋" w:eastAsia="仿宋" w:cs="Arial"/>
          <w:sz w:val="44"/>
          <w:szCs w:val="44"/>
        </w:rPr>
        <w:t>日</w:t>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rPr>
          <w:rFonts w:hint="eastAsia" w:ascii="仿宋" w:hAnsi="仿宋" w:eastAsia="仿宋"/>
          <w:sz w:val="44"/>
        </w:rPr>
        <w:t>目   录</w:t>
      </w:r>
    </w:p>
    <w:p>
      <w:pPr>
        <w:rPr>
          <w:rFonts w:hint="eastAsia" w:ascii="仿宋" w:hAnsi="仿宋" w:eastAsia="仿宋"/>
          <w:sz w:val="32"/>
        </w:rPr>
      </w:pPr>
    </w:p>
    <w:p>
      <w:pPr>
        <w:rPr>
          <w:rFonts w:hint="eastAsia" w:ascii="仿宋" w:hAnsi="仿宋" w:eastAsia="仿宋"/>
          <w:sz w:val="32"/>
        </w:rPr>
      </w:pPr>
      <w:r>
        <w:rPr>
          <w:rFonts w:hint="eastAsia" w:ascii="仿宋" w:hAnsi="仿宋" w:eastAsia="仿宋"/>
          <w:sz w:val="32"/>
        </w:rPr>
        <w:t>第一部分  部门概况</w:t>
      </w:r>
    </w:p>
    <w:p>
      <w:pPr>
        <w:rPr>
          <w:rFonts w:hint="eastAsia" w:ascii="仿宋" w:hAnsi="仿宋" w:eastAsia="仿宋"/>
          <w:sz w:val="32"/>
        </w:rPr>
      </w:pPr>
      <w:r>
        <w:rPr>
          <w:rFonts w:hint="eastAsia" w:ascii="仿宋" w:hAnsi="仿宋" w:eastAsia="仿宋"/>
          <w:sz w:val="32"/>
        </w:rPr>
        <w:t>一、部门职责</w:t>
      </w:r>
    </w:p>
    <w:p>
      <w:pPr>
        <w:rPr>
          <w:rFonts w:hint="eastAsia" w:ascii="仿宋" w:hAnsi="仿宋" w:eastAsia="仿宋"/>
          <w:sz w:val="32"/>
        </w:rPr>
      </w:pPr>
      <w:r>
        <w:rPr>
          <w:rFonts w:hint="eastAsia" w:ascii="仿宋" w:hAnsi="仿宋" w:eastAsia="仿宋"/>
          <w:sz w:val="32"/>
        </w:rPr>
        <w:t>二、机构设置及部门决算单位构成</w:t>
      </w:r>
    </w:p>
    <w:p>
      <w:pPr>
        <w:rPr>
          <w:rFonts w:hint="eastAsia" w:ascii="仿宋" w:hAnsi="仿宋" w:eastAsia="仿宋"/>
          <w:sz w:val="32"/>
        </w:rPr>
      </w:pPr>
      <w:r>
        <w:rPr>
          <w:rFonts w:hint="eastAsia" w:ascii="仿宋" w:hAnsi="仿宋" w:eastAsia="仿宋"/>
          <w:sz w:val="32"/>
        </w:rPr>
        <w:t>第二部分 202</w:t>
      </w:r>
      <w:r>
        <w:rPr>
          <w:rFonts w:ascii="仿宋" w:hAnsi="仿宋" w:eastAsia="仿宋"/>
          <w:sz w:val="32"/>
        </w:rPr>
        <w:t>2</w:t>
      </w:r>
      <w:r>
        <w:rPr>
          <w:rFonts w:hint="eastAsia" w:ascii="仿宋" w:hAnsi="仿宋" w:eastAsia="仿宋"/>
          <w:sz w:val="32"/>
        </w:rPr>
        <w:t>年度部门决算表</w:t>
      </w:r>
    </w:p>
    <w:p>
      <w:pPr>
        <w:rPr>
          <w:rFonts w:hint="eastAsia" w:ascii="仿宋" w:hAnsi="仿宋" w:eastAsia="仿宋"/>
          <w:sz w:val="32"/>
        </w:rPr>
      </w:pPr>
      <w:r>
        <w:rPr>
          <w:rFonts w:hint="eastAsia" w:ascii="仿宋" w:hAnsi="仿宋" w:eastAsia="仿宋"/>
          <w:sz w:val="32"/>
        </w:rPr>
        <w:t>一、收入支出决算总表</w:t>
      </w:r>
    </w:p>
    <w:p>
      <w:pPr>
        <w:rPr>
          <w:rFonts w:hint="eastAsia" w:ascii="仿宋" w:hAnsi="仿宋" w:eastAsia="仿宋"/>
          <w:sz w:val="32"/>
        </w:rPr>
      </w:pPr>
      <w:r>
        <w:rPr>
          <w:rFonts w:hint="eastAsia" w:ascii="仿宋" w:hAnsi="仿宋" w:eastAsia="仿宋"/>
          <w:sz w:val="32"/>
        </w:rPr>
        <w:t>二、收入决算表</w:t>
      </w:r>
    </w:p>
    <w:p>
      <w:pPr>
        <w:rPr>
          <w:rFonts w:hint="eastAsia" w:ascii="仿宋" w:hAnsi="仿宋" w:eastAsia="仿宋"/>
          <w:sz w:val="32"/>
        </w:rPr>
      </w:pPr>
      <w:r>
        <w:rPr>
          <w:rFonts w:hint="eastAsia" w:ascii="仿宋" w:hAnsi="仿宋" w:eastAsia="仿宋"/>
          <w:sz w:val="32"/>
        </w:rPr>
        <w:t>三、支出决算表</w:t>
      </w:r>
    </w:p>
    <w:p>
      <w:pPr>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rPr>
          <w:rFonts w:hint="eastAsia" w:ascii="仿宋" w:hAnsi="仿宋" w:eastAsia="仿宋"/>
          <w:sz w:val="32"/>
        </w:rPr>
        <w:t>五、一般公共预算财政拨款支出决算表</w:t>
      </w:r>
    </w:p>
    <w:p>
      <w:pPr>
        <w:rPr>
          <w:rFonts w:hint="eastAsia" w:ascii="仿宋" w:hAnsi="仿宋" w:eastAsia="仿宋"/>
          <w:sz w:val="32"/>
        </w:rPr>
      </w:pPr>
      <w:r>
        <w:rPr>
          <w:rFonts w:hint="eastAsia" w:ascii="仿宋" w:hAnsi="仿宋" w:eastAsia="仿宋"/>
          <w:sz w:val="32"/>
        </w:rPr>
        <w:t>六、一般公共预算财政拨款基本支出决算表</w:t>
      </w:r>
    </w:p>
    <w:p>
      <w:pPr>
        <w:rPr>
          <w:rFonts w:ascii="仿宋" w:hAnsi="仿宋" w:eastAsia="仿宋"/>
          <w:sz w:val="32"/>
        </w:rPr>
      </w:pPr>
      <w:r>
        <w:rPr>
          <w:rFonts w:hint="eastAsia" w:ascii="仿宋" w:hAnsi="仿宋" w:eastAsia="仿宋"/>
          <w:sz w:val="32"/>
        </w:rPr>
        <w:t>七、政府性基金预算财政拨款收入支出决算表</w:t>
      </w:r>
    </w:p>
    <w:p>
      <w:pPr>
        <w:rPr>
          <w:rFonts w:hint="eastAsia" w:ascii="仿宋" w:hAnsi="仿宋" w:eastAsia="仿宋"/>
          <w:sz w:val="32"/>
        </w:rPr>
      </w:pPr>
      <w:r>
        <w:rPr>
          <w:rFonts w:hint="eastAsia" w:ascii="仿宋" w:hAnsi="仿宋" w:eastAsia="仿宋"/>
          <w:sz w:val="32"/>
        </w:rPr>
        <w:t>八、</w:t>
      </w:r>
      <w:r>
        <w:rPr>
          <w:rFonts w:hint="eastAsia" w:ascii="仿宋" w:hAnsi="仿宋" w:eastAsia="仿宋"/>
          <w:sz w:val="32"/>
          <w:szCs w:val="30"/>
        </w:rPr>
        <w:t>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决算表</w:t>
      </w:r>
    </w:p>
    <w:p>
      <w:pPr>
        <w:rPr>
          <w:rFonts w:ascii="仿宋" w:hAnsi="仿宋" w:eastAsia="仿宋"/>
          <w:sz w:val="32"/>
        </w:rPr>
      </w:pPr>
      <w:r>
        <w:rPr>
          <w:rFonts w:hint="eastAsia" w:ascii="仿宋" w:hAnsi="仿宋" w:eastAsia="仿宋"/>
          <w:sz w:val="32"/>
        </w:rPr>
        <w:t>九、财政拨款“三公”经费支出决算表</w:t>
      </w:r>
    </w:p>
    <w:p>
      <w:pPr>
        <w:rPr>
          <w:rFonts w:hint="eastAsia" w:ascii="仿宋" w:hAnsi="仿宋" w:eastAsia="仿宋"/>
          <w:sz w:val="32"/>
        </w:rPr>
      </w:pPr>
      <w:r>
        <w:rPr>
          <w:rFonts w:hint="eastAsia" w:ascii="仿宋" w:hAnsi="仿宋" w:eastAsia="仿宋"/>
          <w:sz w:val="32"/>
        </w:rPr>
        <w:t>十、部门预算项目支出绩效自评表</w:t>
      </w:r>
    </w:p>
    <w:p>
      <w:pPr>
        <w:rPr>
          <w:rFonts w:hint="eastAsia" w:ascii="仿宋" w:hAnsi="仿宋" w:eastAsia="仿宋"/>
          <w:sz w:val="32"/>
        </w:rPr>
      </w:pPr>
      <w:r>
        <w:rPr>
          <w:rFonts w:hint="eastAsia" w:ascii="仿宋" w:hAnsi="仿宋" w:eastAsia="仿宋"/>
          <w:sz w:val="32"/>
        </w:rPr>
        <w:t>第三部分  202</w:t>
      </w:r>
      <w:r>
        <w:rPr>
          <w:rFonts w:ascii="仿宋" w:hAnsi="仿宋" w:eastAsia="仿宋"/>
          <w:sz w:val="32"/>
        </w:rPr>
        <w:t>2</w:t>
      </w:r>
      <w:r>
        <w:rPr>
          <w:rFonts w:hint="eastAsia" w:ascii="仿宋" w:hAnsi="仿宋" w:eastAsia="仿宋"/>
          <w:sz w:val="32"/>
        </w:rPr>
        <w:t>年度部门决算情况说明</w:t>
      </w:r>
    </w:p>
    <w:p>
      <w:pPr>
        <w:rPr>
          <w:rFonts w:hint="eastAsia" w:ascii="仿宋" w:hAnsi="仿宋" w:eastAsia="仿宋"/>
          <w:sz w:val="32"/>
        </w:rPr>
      </w:pPr>
      <w:r>
        <w:rPr>
          <w:rFonts w:hint="eastAsia" w:ascii="仿宋" w:hAnsi="仿宋" w:eastAsia="仿宋"/>
          <w:sz w:val="32"/>
        </w:rPr>
        <w:t>一、收入支出决算总体情况说明</w:t>
      </w:r>
    </w:p>
    <w:p>
      <w:pPr>
        <w:rPr>
          <w:rFonts w:hint="eastAsia" w:ascii="仿宋" w:hAnsi="仿宋" w:eastAsia="仿宋"/>
          <w:sz w:val="32"/>
        </w:rPr>
      </w:pPr>
      <w:r>
        <w:rPr>
          <w:rFonts w:hint="eastAsia" w:ascii="仿宋" w:hAnsi="仿宋" w:eastAsia="仿宋"/>
          <w:sz w:val="32"/>
        </w:rPr>
        <w:t>二、收入决算情况说明</w:t>
      </w:r>
    </w:p>
    <w:p>
      <w:pPr>
        <w:rPr>
          <w:rFonts w:hint="eastAsia" w:ascii="仿宋" w:hAnsi="仿宋" w:eastAsia="仿宋"/>
          <w:sz w:val="32"/>
        </w:rPr>
      </w:pPr>
      <w:r>
        <w:rPr>
          <w:rFonts w:hint="eastAsia" w:ascii="仿宋" w:hAnsi="仿宋" w:eastAsia="仿宋"/>
          <w:sz w:val="32"/>
        </w:rPr>
        <w:t>三、支出决算情况说明</w:t>
      </w:r>
    </w:p>
    <w:p>
      <w:pPr>
        <w:rPr>
          <w:rFonts w:hint="eastAsia" w:ascii="仿宋" w:hAnsi="仿宋" w:eastAsia="仿宋"/>
          <w:sz w:val="32"/>
        </w:rPr>
      </w:pPr>
      <w:r>
        <w:rPr>
          <w:rFonts w:hint="eastAsia" w:ascii="仿宋" w:hAnsi="仿宋" w:eastAsia="仿宋"/>
          <w:sz w:val="32"/>
        </w:rPr>
        <w:t>四、财政拨款收入支出决算总体情况说明</w:t>
      </w:r>
    </w:p>
    <w:p>
      <w:pPr>
        <w:rPr>
          <w:rFonts w:hint="eastAsia" w:ascii="仿宋" w:hAnsi="仿宋" w:eastAsia="仿宋"/>
          <w:sz w:val="32"/>
        </w:rPr>
      </w:pPr>
      <w:r>
        <w:rPr>
          <w:rFonts w:hint="eastAsia" w:ascii="仿宋" w:hAnsi="仿宋" w:eastAsia="仿宋"/>
          <w:sz w:val="32"/>
        </w:rPr>
        <w:t>五、一般公共预算财政拨款支出决算情况说明</w:t>
      </w:r>
    </w:p>
    <w:p>
      <w:pPr>
        <w:rPr>
          <w:rFonts w:hint="eastAsia" w:ascii="仿宋" w:hAnsi="仿宋" w:eastAsia="仿宋"/>
          <w:sz w:val="32"/>
        </w:rPr>
      </w:pPr>
      <w:r>
        <w:rPr>
          <w:rFonts w:hint="eastAsia" w:ascii="仿宋" w:hAnsi="仿宋" w:eastAsia="仿宋"/>
          <w:sz w:val="32"/>
        </w:rPr>
        <w:t>六、一般公共预算财政拨款基本支出决算情况说明</w:t>
      </w:r>
    </w:p>
    <w:p>
      <w:pPr>
        <w:rPr>
          <w:rFonts w:hint="eastAsia" w:ascii="仿宋" w:hAnsi="仿宋" w:eastAsia="仿宋"/>
          <w:sz w:val="32"/>
        </w:rPr>
      </w:pPr>
      <w:r>
        <w:rPr>
          <w:rFonts w:hint="eastAsia" w:ascii="仿宋" w:hAnsi="仿宋" w:eastAsia="仿宋"/>
          <w:sz w:val="32"/>
        </w:rPr>
        <w:t>七、政府性基金预算财政拨款收入支出决算情况说明</w:t>
      </w:r>
    </w:p>
    <w:p>
      <w:pPr>
        <w:rPr>
          <w:rFonts w:hint="eastAsia" w:ascii="仿宋" w:hAnsi="仿宋" w:eastAsia="仿宋"/>
          <w:sz w:val="32"/>
          <w:szCs w:val="30"/>
        </w:rPr>
      </w:pPr>
      <w:r>
        <w:rPr>
          <w:rFonts w:hint="eastAsia" w:ascii="仿宋" w:hAnsi="仿宋" w:eastAsia="仿宋"/>
          <w:sz w:val="32"/>
        </w:rPr>
        <w:t>八、</w:t>
      </w:r>
      <w:r>
        <w:rPr>
          <w:rFonts w:hint="eastAsia" w:ascii="仿宋" w:hAnsi="仿宋" w:eastAsia="仿宋"/>
          <w:sz w:val="32"/>
          <w:szCs w:val="30"/>
        </w:rPr>
        <w:t>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w:t>
      </w:r>
      <w:r>
        <w:rPr>
          <w:rFonts w:hint="eastAsia" w:ascii="仿宋" w:hAnsi="仿宋" w:eastAsia="仿宋"/>
          <w:sz w:val="32"/>
          <w:szCs w:val="30"/>
        </w:rPr>
        <w:t>情况说明</w:t>
      </w:r>
    </w:p>
    <w:p>
      <w:pPr>
        <w:rPr>
          <w:rFonts w:hint="eastAsia" w:ascii="仿宋" w:hAnsi="仿宋" w:eastAsia="仿宋"/>
          <w:sz w:val="32"/>
        </w:rPr>
      </w:pPr>
      <w:r>
        <w:rPr>
          <w:rFonts w:hint="eastAsia" w:ascii="仿宋" w:hAnsi="仿宋" w:eastAsia="仿宋"/>
          <w:sz w:val="32"/>
        </w:rPr>
        <w:t>九、财政拨款“三公”经费支出决算情况说明</w:t>
      </w:r>
    </w:p>
    <w:p>
      <w:pPr>
        <w:rPr>
          <w:rFonts w:hint="eastAsia" w:ascii="仿宋" w:hAnsi="仿宋" w:eastAsia="仿宋"/>
          <w:sz w:val="32"/>
        </w:rPr>
      </w:pPr>
      <w:r>
        <w:rPr>
          <w:rFonts w:hint="eastAsia" w:ascii="仿宋" w:hAnsi="仿宋" w:eastAsia="仿宋"/>
          <w:sz w:val="32"/>
        </w:rPr>
        <w:t>十、预算绩效管理情况说明</w:t>
      </w:r>
    </w:p>
    <w:p>
      <w:pPr>
        <w:rPr>
          <w:rFonts w:hint="eastAsia" w:ascii="仿宋" w:hAnsi="仿宋" w:eastAsia="仿宋"/>
          <w:sz w:val="32"/>
        </w:rPr>
      </w:pPr>
      <w:r>
        <w:rPr>
          <w:rFonts w:hint="eastAsia" w:ascii="仿宋" w:hAnsi="仿宋" w:eastAsia="仿宋"/>
          <w:sz w:val="32"/>
        </w:rPr>
        <w:t>十一、其他重要事项情况说明</w:t>
      </w:r>
    </w:p>
    <w:p>
      <w:pPr>
        <w:rPr>
          <w:rFonts w:hint="eastAsia" w:ascii="仿宋" w:hAnsi="仿宋" w:eastAsia="仿宋"/>
          <w:sz w:val="32"/>
        </w:rPr>
      </w:pPr>
      <w:r>
        <w:rPr>
          <w:rFonts w:hint="eastAsia" w:ascii="仿宋" w:hAnsi="仿宋" w:eastAsia="仿宋"/>
          <w:sz w:val="32"/>
        </w:rPr>
        <w:t>第四部分  名词解释</w:t>
      </w: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jc w:val="center"/>
        <w:rPr>
          <w:rFonts w:hint="eastAsia" w:ascii="仿宋" w:hAnsi="仿宋" w:eastAsia="仿宋"/>
          <w:sz w:val="32"/>
        </w:rPr>
      </w:pPr>
    </w:p>
    <w:p>
      <w:pPr>
        <w:jc w:val="center"/>
        <w:rPr>
          <w:rFonts w:hint="eastAsia" w:ascii="仿宋" w:hAnsi="仿宋" w:eastAsia="仿宋"/>
          <w:sz w:val="32"/>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ind w:firstLine="2200" w:firstLineChars="500"/>
        <w:rPr>
          <w:rFonts w:ascii="仿宋" w:hAnsi="仿宋" w:eastAsia="仿宋"/>
          <w:sz w:val="44"/>
        </w:rPr>
      </w:pPr>
    </w:p>
    <w:p>
      <w:pPr>
        <w:ind w:firstLine="2200" w:firstLineChars="500"/>
        <w:rPr>
          <w:rFonts w:ascii="仿宋" w:hAnsi="仿宋" w:eastAsia="仿宋"/>
          <w:sz w:val="44"/>
        </w:rPr>
      </w:pPr>
    </w:p>
    <w:p>
      <w:pPr>
        <w:rPr>
          <w:rFonts w:hint="eastAsia" w:ascii="仿宋" w:hAnsi="仿宋" w:eastAsia="仿宋"/>
          <w:sz w:val="44"/>
        </w:rPr>
      </w:pPr>
    </w:p>
    <w:p>
      <w:pPr>
        <w:ind w:firstLine="2200" w:firstLineChars="500"/>
        <w:rPr>
          <w:rFonts w:hint="eastAsia" w:ascii="仿宋" w:hAnsi="仿宋" w:eastAsia="仿宋"/>
          <w:sz w:val="44"/>
        </w:rPr>
      </w:pPr>
      <w:r>
        <w:rPr>
          <w:rFonts w:hint="eastAsia" w:ascii="仿宋" w:hAnsi="仿宋" w:eastAsia="仿宋"/>
          <w:sz w:val="44"/>
        </w:rPr>
        <w:t>第一部分  部门概况</w:t>
      </w:r>
    </w:p>
    <w:p>
      <w:pPr>
        <w:jc w:val="center"/>
        <w:rPr>
          <w:rFonts w:hint="eastAsia" w:ascii="仿宋" w:hAnsi="仿宋" w:eastAsia="仿宋"/>
          <w:sz w:val="32"/>
        </w:rPr>
      </w:pPr>
    </w:p>
    <w:p>
      <w:pPr>
        <w:rPr>
          <w:rFonts w:hint="eastAsia" w:ascii="仿宋" w:hAnsi="仿宋" w:eastAsia="仿宋"/>
          <w:sz w:val="32"/>
        </w:rPr>
      </w:pPr>
      <w:r>
        <w:rPr>
          <w:rFonts w:hint="eastAsia" w:ascii="仿宋" w:hAnsi="仿宋" w:eastAsia="仿宋"/>
          <w:sz w:val="32"/>
        </w:rPr>
        <w:t xml:space="preserve">    一、部门职责</w:t>
      </w:r>
    </w:p>
    <w:p>
      <w:pPr>
        <w:ind w:firstLine="640" w:firstLineChars="200"/>
        <w:rPr>
          <w:rFonts w:hint="eastAsia" w:ascii="仿宋" w:hAnsi="仿宋" w:eastAsia="仿宋"/>
          <w:sz w:val="32"/>
        </w:rPr>
      </w:pPr>
      <w:r>
        <w:rPr>
          <w:rFonts w:hint="eastAsia" w:ascii="仿宋" w:hAnsi="仿宋" w:eastAsia="仿宋"/>
          <w:sz w:val="32"/>
        </w:rPr>
        <w:t xml:space="preserve">    </w:t>
      </w:r>
      <w:r>
        <w:rPr>
          <w:rFonts w:hint="eastAsia" w:ascii="仿宋" w:hAnsi="仿宋" w:eastAsia="仿宋" w:cs="仿宋"/>
          <w:sz w:val="32"/>
          <w:szCs w:val="32"/>
        </w:rPr>
        <w:t>德惠市米沙子镇中心小学是经德惠市编委批准成立的，在德惠市教育局主管下的一所乡镇小学。主要职责是实施小学义务教育，促进基础教育发展和小学学历教育。</w:t>
      </w:r>
    </w:p>
    <w:p>
      <w:pPr>
        <w:ind w:firstLine="707" w:firstLineChars="221"/>
        <w:rPr>
          <w:rFonts w:hint="eastAsia" w:ascii="仿宋" w:hAnsi="仿宋" w:eastAsia="仿宋"/>
          <w:sz w:val="32"/>
        </w:rPr>
      </w:pPr>
      <w:r>
        <w:rPr>
          <w:rFonts w:hint="eastAsia" w:ascii="仿宋" w:hAnsi="仿宋" w:eastAsia="仿宋"/>
          <w:sz w:val="32"/>
        </w:rPr>
        <w:t>机构设置及部门决算单位构成</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根据上述职责，德惠市米沙子镇中心小学内设10个机构，分别为校长室、教导处、大队部、</w:t>
      </w:r>
      <w:r>
        <w:rPr>
          <w:rFonts w:hint="eastAsia" w:ascii="仿宋" w:hAnsi="仿宋" w:eastAsia="仿宋" w:cs="仿宋"/>
          <w:color w:val="000000"/>
          <w:kern w:val="0"/>
          <w:sz w:val="32"/>
          <w:szCs w:val="32"/>
        </w:rPr>
        <w:t>工会、</w:t>
      </w:r>
      <w:r>
        <w:rPr>
          <w:rFonts w:hint="eastAsia" w:ascii="仿宋" w:hAnsi="仿宋" w:eastAsia="仿宋" w:cs="仿宋"/>
          <w:kern w:val="0"/>
          <w:sz w:val="32"/>
          <w:szCs w:val="32"/>
        </w:rPr>
        <w:t>后勤办公室、安全科、财务室、班主任组、综合组、体育组。</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1、校长室</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设有一名校长、两名副校长，分别主管教学工作和德育工作，协助校长做好教学、德育教育并督促检查执行，及时向校长汇报情况。</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2、主任室（教导处）</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组织和管理学校正常教学工作，努力提高教学质量。领导学校教学、实验教学工作，管理学校实验室、图书室、微机室和多媒体教室，组织领导学校音、体、美工作，开展课外文体活动。领导处理教务行政工作。贯彻上级主管部门的各种规章制度，拟定课程表，作息时间表，负责编班，组织安排考试，管理学籍档案工作。</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3、大队部</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大队部主要制订学校大队部、学生大队部工作计划，领导班主任搞好校内外卫生工作，调动师生积极性。</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4、工会</w:t>
      </w:r>
    </w:p>
    <w:p>
      <w:pPr>
        <w:tabs>
          <w:tab w:val="left" w:pos="0"/>
        </w:tabs>
        <w:ind w:firstLine="640" w:firstLineChars="200"/>
        <w:rPr>
          <w:rFonts w:hint="eastAsia" w:ascii="仿宋" w:hAnsi="仿宋" w:eastAsia="仿宋"/>
          <w:sz w:val="32"/>
          <w:szCs w:val="32"/>
        </w:rPr>
      </w:pPr>
      <w:r>
        <w:rPr>
          <w:rFonts w:hint="eastAsia" w:ascii="仿宋" w:hAnsi="仿宋" w:eastAsia="仿宋"/>
          <w:sz w:val="32"/>
          <w:szCs w:val="32"/>
        </w:rPr>
        <w:t>协助校长抓好教师的文化、体育活动，落实教师各项待遇，帮助解决教师家庭生活困难等工作，定期召开教代会，依法履行教师话语权、监督权。</w:t>
      </w:r>
    </w:p>
    <w:p>
      <w:pPr>
        <w:ind w:firstLine="627" w:firstLineChars="196"/>
        <w:rPr>
          <w:rFonts w:hint="eastAsia" w:ascii="仿宋" w:hAnsi="仿宋" w:eastAsia="仿宋"/>
          <w:sz w:val="32"/>
          <w:szCs w:val="32"/>
        </w:rPr>
      </w:pPr>
      <w:r>
        <w:rPr>
          <w:rFonts w:hint="eastAsia" w:ascii="仿宋" w:hAnsi="仿宋" w:eastAsia="仿宋"/>
          <w:sz w:val="32"/>
          <w:szCs w:val="32"/>
        </w:rPr>
        <w:t>5、安全科</w:t>
      </w:r>
    </w:p>
    <w:p>
      <w:pPr>
        <w:ind w:firstLine="627" w:firstLineChars="196"/>
        <w:rPr>
          <w:rFonts w:hint="eastAsia" w:ascii="仿宋" w:hAnsi="仿宋" w:eastAsia="仿宋"/>
          <w:sz w:val="32"/>
          <w:szCs w:val="32"/>
        </w:rPr>
      </w:pPr>
      <w:r>
        <w:rPr>
          <w:rFonts w:hint="eastAsia" w:ascii="仿宋" w:hAnsi="仿宋" w:eastAsia="仿宋"/>
          <w:sz w:val="32"/>
          <w:szCs w:val="32"/>
        </w:rPr>
        <w:t>负责学校安全工作。</w:t>
      </w:r>
    </w:p>
    <w:p>
      <w:pPr>
        <w:ind w:firstLine="627" w:firstLineChars="196"/>
        <w:rPr>
          <w:rFonts w:hint="eastAsia" w:ascii="仿宋" w:hAnsi="仿宋" w:eastAsia="仿宋"/>
          <w:sz w:val="32"/>
          <w:szCs w:val="32"/>
        </w:rPr>
      </w:pPr>
      <w:r>
        <w:rPr>
          <w:rFonts w:hint="eastAsia" w:ascii="仿宋" w:hAnsi="仿宋" w:eastAsia="仿宋"/>
          <w:sz w:val="32"/>
          <w:szCs w:val="32"/>
        </w:rPr>
        <w:t>6、财务室</w:t>
      </w:r>
    </w:p>
    <w:p>
      <w:pPr>
        <w:ind w:firstLine="627" w:firstLineChars="196"/>
        <w:rPr>
          <w:rFonts w:hint="eastAsia" w:ascii="仿宋" w:hAnsi="仿宋" w:eastAsia="仿宋"/>
          <w:sz w:val="32"/>
          <w:szCs w:val="32"/>
        </w:rPr>
      </w:pPr>
      <w:r>
        <w:rPr>
          <w:rFonts w:hint="eastAsia" w:ascii="仿宋" w:hAnsi="仿宋" w:eastAsia="仿宋"/>
          <w:sz w:val="32"/>
          <w:szCs w:val="32"/>
        </w:rPr>
        <w:t>负责学校财务管理工作。</w:t>
      </w:r>
    </w:p>
    <w:p>
      <w:pPr>
        <w:ind w:firstLine="627" w:firstLineChars="196"/>
        <w:rPr>
          <w:rFonts w:hint="eastAsia" w:ascii="仿宋" w:hAnsi="仿宋" w:eastAsia="仿宋"/>
          <w:sz w:val="32"/>
          <w:szCs w:val="32"/>
        </w:rPr>
      </w:pPr>
      <w:r>
        <w:rPr>
          <w:rFonts w:hint="eastAsia" w:ascii="仿宋" w:hAnsi="仿宋" w:eastAsia="仿宋"/>
          <w:sz w:val="32"/>
          <w:szCs w:val="32"/>
        </w:rPr>
        <w:t>7、班主任组</w:t>
      </w:r>
    </w:p>
    <w:p>
      <w:pPr>
        <w:ind w:firstLine="627" w:firstLineChars="196"/>
        <w:rPr>
          <w:rFonts w:hint="eastAsia" w:ascii="仿宋" w:hAnsi="仿宋" w:eastAsia="仿宋"/>
          <w:sz w:val="32"/>
          <w:szCs w:val="32"/>
        </w:rPr>
      </w:pPr>
      <w:r>
        <w:rPr>
          <w:rFonts w:hint="eastAsia" w:ascii="仿宋" w:hAnsi="仿宋" w:eastAsia="仿宋"/>
          <w:sz w:val="32"/>
          <w:szCs w:val="32"/>
        </w:rPr>
        <w:t>负责1-6教学及教研任务</w:t>
      </w:r>
    </w:p>
    <w:p>
      <w:pPr>
        <w:ind w:firstLine="627" w:firstLineChars="196"/>
        <w:rPr>
          <w:rFonts w:hint="eastAsia" w:ascii="仿宋" w:hAnsi="仿宋" w:eastAsia="仿宋"/>
          <w:sz w:val="32"/>
          <w:szCs w:val="32"/>
        </w:rPr>
      </w:pPr>
      <w:r>
        <w:rPr>
          <w:rFonts w:hint="eastAsia" w:ascii="仿宋" w:hAnsi="仿宋" w:eastAsia="仿宋"/>
          <w:sz w:val="32"/>
          <w:szCs w:val="32"/>
        </w:rPr>
        <w:t>8、综合组</w:t>
      </w:r>
    </w:p>
    <w:p>
      <w:pPr>
        <w:ind w:firstLine="627" w:firstLineChars="196"/>
        <w:rPr>
          <w:rFonts w:hint="eastAsia" w:ascii="仿宋" w:hAnsi="仿宋" w:eastAsia="仿宋"/>
          <w:sz w:val="32"/>
          <w:szCs w:val="32"/>
        </w:rPr>
      </w:pPr>
      <w:r>
        <w:rPr>
          <w:rFonts w:hint="eastAsia" w:ascii="仿宋" w:hAnsi="仿宋" w:eastAsia="仿宋"/>
          <w:sz w:val="32"/>
          <w:szCs w:val="32"/>
        </w:rPr>
        <w:t>负责小科教学及教研任务</w:t>
      </w:r>
    </w:p>
    <w:p>
      <w:pPr>
        <w:ind w:firstLine="627" w:firstLineChars="196"/>
        <w:rPr>
          <w:rFonts w:hint="eastAsia" w:ascii="仿宋" w:hAnsi="仿宋" w:eastAsia="仿宋"/>
          <w:sz w:val="32"/>
          <w:szCs w:val="32"/>
        </w:rPr>
      </w:pPr>
      <w:r>
        <w:rPr>
          <w:rFonts w:hint="eastAsia" w:ascii="仿宋" w:hAnsi="仿宋" w:eastAsia="仿宋"/>
          <w:sz w:val="32"/>
          <w:szCs w:val="32"/>
        </w:rPr>
        <w:t>9、体育组</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负责体育、音乐、美术、信息技术教学及教研任务</w:t>
      </w:r>
    </w:p>
    <w:p>
      <w:pPr>
        <w:widowControl/>
        <w:ind w:firstLine="640" w:firstLineChars="200"/>
        <w:rPr>
          <w:rFonts w:hint="eastAsia" w:ascii="仿宋" w:hAnsi="仿宋" w:eastAsia="仿宋" w:cs="仿宋"/>
          <w:kern w:val="0"/>
          <w:sz w:val="32"/>
          <w:szCs w:val="32"/>
        </w:rPr>
      </w:pPr>
    </w:p>
    <w:p>
      <w:pPr>
        <w:widowControl/>
        <w:ind w:firstLine="640" w:firstLineChars="200"/>
        <w:rPr>
          <w:rFonts w:hint="eastAsia" w:ascii="仿宋" w:hAnsi="仿宋" w:eastAsia="仿宋" w:cs="仿宋"/>
          <w:kern w:val="0"/>
          <w:sz w:val="32"/>
          <w:szCs w:val="32"/>
        </w:rPr>
      </w:pPr>
    </w:p>
    <w:p>
      <w:pPr>
        <w:widowControl/>
        <w:ind w:firstLine="640" w:firstLineChars="200"/>
        <w:rPr>
          <w:rFonts w:hint="eastAsia" w:ascii="仿宋" w:hAnsi="仿宋" w:eastAsia="仿宋" w:cs="仿宋"/>
          <w:kern w:val="0"/>
          <w:sz w:val="32"/>
          <w:szCs w:val="32"/>
        </w:rPr>
      </w:pPr>
    </w:p>
    <w:p>
      <w:pPr>
        <w:widowControl/>
        <w:ind w:firstLine="640" w:firstLineChars="200"/>
        <w:rPr>
          <w:rFonts w:hint="eastAsia" w:ascii="仿宋" w:hAnsi="仿宋" w:eastAsia="仿宋" w:cs="仿宋"/>
          <w:kern w:val="0"/>
          <w:sz w:val="32"/>
          <w:szCs w:val="32"/>
        </w:rPr>
      </w:pPr>
    </w:p>
    <w:p>
      <w:pPr>
        <w:widowControl/>
        <w:ind w:firstLine="640" w:firstLineChars="200"/>
        <w:rPr>
          <w:rFonts w:hint="eastAsia" w:ascii="仿宋" w:hAnsi="仿宋" w:eastAsia="仿宋" w:cs="仿宋"/>
          <w:kern w:val="0"/>
          <w:sz w:val="32"/>
          <w:szCs w:val="32"/>
        </w:rPr>
      </w:pPr>
    </w:p>
    <w:p>
      <w:pPr>
        <w:widowControl/>
        <w:ind w:firstLine="640" w:firstLineChars="200"/>
        <w:rPr>
          <w:rFonts w:hint="eastAsia" w:ascii="仿宋" w:hAnsi="仿宋" w:eastAsia="仿宋" w:cs="仿宋"/>
          <w:kern w:val="0"/>
          <w:sz w:val="32"/>
          <w:szCs w:val="32"/>
        </w:rPr>
      </w:pPr>
    </w:p>
    <w:p>
      <w:pPr>
        <w:jc w:val="center"/>
        <w:rPr>
          <w:rFonts w:ascii="仿宋" w:hAnsi="仿宋" w:eastAsia="仿宋"/>
          <w:sz w:val="44"/>
        </w:rPr>
      </w:pPr>
      <w:r>
        <w:rPr>
          <w:rFonts w:hint="eastAsia" w:ascii="仿宋" w:hAnsi="仿宋" w:eastAsia="仿宋"/>
          <w:sz w:val="44"/>
        </w:rPr>
        <w:t xml:space="preserve">第二部分 </w:t>
      </w:r>
      <w:r>
        <w:rPr>
          <w:rFonts w:ascii="仿宋" w:hAnsi="仿宋" w:eastAsia="仿宋"/>
          <w:sz w:val="44"/>
        </w:rPr>
        <w:t>2022年</w:t>
      </w:r>
      <w:r>
        <w:rPr>
          <w:rFonts w:hint="eastAsia" w:ascii="仿宋" w:hAnsi="仿宋" w:eastAsia="仿宋"/>
          <w:sz w:val="44"/>
        </w:rPr>
        <w:t>度部门决算表</w:t>
      </w:r>
    </w:p>
    <w:p>
      <w:pPr>
        <w:numPr>
          <w:ilvl w:val="0"/>
          <w:numId w:val="1"/>
        </w:numPr>
        <w:ind w:firstLine="640" w:firstLineChars="200"/>
        <w:rPr>
          <w:rFonts w:ascii="仿宋" w:hAnsi="仿宋" w:eastAsia="仿宋"/>
          <w:sz w:val="32"/>
        </w:rPr>
      </w:pPr>
      <w:r>
        <w:rPr>
          <w:rFonts w:hint="eastAsia" w:ascii="仿宋" w:hAnsi="仿宋" w:eastAsia="仿宋"/>
          <w:sz w:val="32"/>
        </w:rPr>
        <w:t>收入支出决算总表</w:t>
      </w:r>
    </w:p>
    <w:p>
      <w:pPr>
        <w:ind w:left="640"/>
        <w:rPr>
          <w:rFonts w:hint="eastAsia" w:ascii="仿宋" w:hAnsi="仿宋" w:eastAsia="仿宋"/>
          <w:sz w:val="32"/>
        </w:rPr>
      </w:pPr>
      <w:r>
        <w:drawing>
          <wp:inline distT="0" distB="0" distL="114300" distR="114300">
            <wp:extent cx="5264150" cy="2860040"/>
            <wp:effectExtent l="0" t="0" r="6350" b="1016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5"/>
                    <a:stretch>
                      <a:fillRect/>
                    </a:stretch>
                  </pic:blipFill>
                  <pic:spPr>
                    <a:xfrm>
                      <a:off x="0" y="0"/>
                      <a:ext cx="5264150" cy="2860040"/>
                    </a:xfrm>
                    <a:prstGeom prst="rect">
                      <a:avLst/>
                    </a:prstGeom>
                    <a:noFill/>
                    <a:ln>
                      <a:noFill/>
                    </a:ln>
                  </pic:spPr>
                </pic:pic>
              </a:graphicData>
            </a:graphic>
          </wp:inline>
        </w:drawing>
      </w:r>
    </w:p>
    <w:p>
      <w:pPr>
        <w:ind w:left="640"/>
        <w:rPr>
          <w:rFonts w:ascii="仿宋" w:hAnsi="仿宋" w:eastAsia="仿宋"/>
          <w:sz w:val="32"/>
        </w:rPr>
      </w:pPr>
      <w:r>
        <w:rPr>
          <w:rFonts w:hint="eastAsia" w:ascii="仿宋" w:hAnsi="仿宋" w:eastAsia="仿宋"/>
          <w:sz w:val="32"/>
        </w:rPr>
        <w:t>二、收入决算表</w:t>
      </w:r>
    </w:p>
    <w:p>
      <w:pPr>
        <w:ind w:left="640"/>
        <w:rPr>
          <w:rFonts w:hint="eastAsia" w:ascii="仿宋" w:hAnsi="仿宋" w:eastAsia="仿宋"/>
          <w:sz w:val="32"/>
        </w:rPr>
      </w:pPr>
      <w:r>
        <w:drawing>
          <wp:inline distT="0" distB="0" distL="114300" distR="114300">
            <wp:extent cx="5272405" cy="4341495"/>
            <wp:effectExtent l="0" t="0" r="10795" b="1905"/>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pic:cNvPicPr>
                  </pic:nvPicPr>
                  <pic:blipFill>
                    <a:blip r:embed="rId6"/>
                    <a:stretch>
                      <a:fillRect/>
                    </a:stretch>
                  </pic:blipFill>
                  <pic:spPr>
                    <a:xfrm>
                      <a:off x="0" y="0"/>
                      <a:ext cx="5272405" cy="4341495"/>
                    </a:xfrm>
                    <a:prstGeom prst="rect">
                      <a:avLst/>
                    </a:prstGeom>
                    <a:noFill/>
                    <a:ln>
                      <a:noFill/>
                    </a:ln>
                  </pic:spPr>
                </pic:pic>
              </a:graphicData>
            </a:graphic>
          </wp:inline>
        </w:drawing>
      </w:r>
    </w:p>
    <w:p>
      <w:pPr>
        <w:ind w:left="640"/>
        <w:rPr>
          <w:rFonts w:hint="eastAsia" w:ascii="仿宋" w:hAnsi="仿宋" w:eastAsia="仿宋"/>
          <w:sz w:val="32"/>
        </w:rPr>
      </w:pPr>
    </w:p>
    <w:p>
      <w:pPr>
        <w:ind w:left="640"/>
        <w:rPr>
          <w:rFonts w:ascii="仿宋" w:hAnsi="仿宋" w:eastAsia="仿宋"/>
          <w:sz w:val="32"/>
        </w:rPr>
      </w:pPr>
      <w:r>
        <w:rPr>
          <w:rFonts w:hint="eastAsia" w:ascii="仿宋" w:hAnsi="仿宋" w:eastAsia="仿宋"/>
          <w:sz w:val="32"/>
        </w:rPr>
        <w:t>三、支出决算表</w:t>
      </w:r>
    </w:p>
    <w:p>
      <w:pPr>
        <w:ind w:left="640"/>
        <w:rPr>
          <w:rFonts w:hint="eastAsia" w:ascii="仿宋" w:hAnsi="仿宋" w:eastAsia="仿宋"/>
          <w:sz w:val="32"/>
        </w:rPr>
      </w:pPr>
      <w:r>
        <w:drawing>
          <wp:inline distT="0" distB="0" distL="114300" distR="114300">
            <wp:extent cx="5266055" cy="4854575"/>
            <wp:effectExtent l="0" t="0" r="4445" b="9525"/>
            <wp:docPr id="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pic:cNvPicPr>
                      <a:picLocks noChangeAspect="1"/>
                    </pic:cNvPicPr>
                  </pic:nvPicPr>
                  <pic:blipFill>
                    <a:blip r:embed="rId7"/>
                    <a:stretch>
                      <a:fillRect/>
                    </a:stretch>
                  </pic:blipFill>
                  <pic:spPr>
                    <a:xfrm>
                      <a:off x="0" y="0"/>
                      <a:ext cx="5266055" cy="4854575"/>
                    </a:xfrm>
                    <a:prstGeom prst="rect">
                      <a:avLst/>
                    </a:prstGeom>
                    <a:noFill/>
                    <a:ln>
                      <a:noFill/>
                    </a:ln>
                  </pic:spPr>
                </pic:pic>
              </a:graphicData>
            </a:graphic>
          </wp:inline>
        </w:drawing>
      </w:r>
    </w:p>
    <w:p>
      <w:pPr>
        <w:ind w:firstLine="640" w:firstLineChars="200"/>
        <w:rPr>
          <w:rFonts w:ascii="仿宋" w:hAnsi="仿宋" w:eastAsia="仿宋"/>
          <w:sz w:val="32"/>
        </w:rPr>
      </w:pPr>
      <w:r>
        <w:rPr>
          <w:rFonts w:hint="eastAsia" w:ascii="仿宋" w:hAnsi="仿宋" w:eastAsia="仿宋"/>
          <w:sz w:val="32"/>
        </w:rPr>
        <w:t>四、财政拨款收入支出决算总表</w:t>
      </w:r>
    </w:p>
    <w:p>
      <w:pPr>
        <w:ind w:firstLine="420" w:firstLineChars="200"/>
        <w:rPr>
          <w:rFonts w:hint="eastAsia" w:ascii="仿宋" w:hAnsi="仿宋" w:eastAsia="仿宋"/>
          <w:sz w:val="32"/>
        </w:rPr>
      </w:pPr>
      <w:r>
        <w:drawing>
          <wp:inline distT="0" distB="0" distL="114300" distR="114300">
            <wp:extent cx="5269865" cy="2368550"/>
            <wp:effectExtent l="0" t="0" r="635" b="635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8"/>
                    <a:stretch>
                      <a:fillRect/>
                    </a:stretch>
                  </pic:blipFill>
                  <pic:spPr>
                    <a:xfrm>
                      <a:off x="0" y="0"/>
                      <a:ext cx="5269865" cy="2368550"/>
                    </a:xfrm>
                    <a:prstGeom prst="rect">
                      <a:avLst/>
                    </a:prstGeom>
                    <a:noFill/>
                    <a:ln>
                      <a:noFill/>
                    </a:ln>
                  </pic:spPr>
                </pic:pic>
              </a:graphicData>
            </a:graphic>
          </wp:inline>
        </w:drawing>
      </w:r>
    </w:p>
    <w:p>
      <w:pPr>
        <w:ind w:firstLine="640" w:firstLineChars="200"/>
        <w:rPr>
          <w:rFonts w:hint="eastAsia" w:ascii="仿宋" w:hAnsi="仿宋" w:eastAsia="仿宋"/>
          <w:sz w:val="32"/>
        </w:rPr>
      </w:pPr>
    </w:p>
    <w:p>
      <w:pPr>
        <w:ind w:firstLine="640" w:firstLineChars="200"/>
        <w:rPr>
          <w:rFonts w:hint="eastAsia" w:ascii="仿宋" w:hAnsi="仿宋" w:eastAsia="仿宋"/>
          <w:sz w:val="32"/>
        </w:rPr>
      </w:pPr>
    </w:p>
    <w:p>
      <w:pPr>
        <w:numPr>
          <w:ilvl w:val="0"/>
          <w:numId w:val="2"/>
        </w:numPr>
        <w:ind w:firstLine="640" w:firstLineChars="200"/>
        <w:rPr>
          <w:rFonts w:hint="eastAsia" w:ascii="仿宋" w:hAnsi="仿宋" w:eastAsia="仿宋"/>
          <w:sz w:val="32"/>
        </w:rPr>
      </w:pPr>
      <w:r>
        <w:rPr>
          <w:rFonts w:hint="eastAsia" w:ascii="仿宋" w:hAnsi="仿宋" w:eastAsia="仿宋"/>
          <w:sz w:val="32"/>
        </w:rPr>
        <w:t>一般公共预算财政拨款支出决算表</w:t>
      </w:r>
    </w:p>
    <w:p>
      <w:pPr>
        <w:numPr>
          <w:ilvl w:val="0"/>
          <w:numId w:val="0"/>
        </w:numPr>
        <w:ind w:leftChars="0"/>
        <w:rPr>
          <w:rFonts w:ascii="仿宋" w:hAnsi="仿宋" w:eastAsia="仿宋"/>
          <w:sz w:val="32"/>
        </w:rPr>
      </w:pPr>
      <w:r>
        <w:drawing>
          <wp:inline distT="0" distB="0" distL="114300" distR="114300">
            <wp:extent cx="5272405" cy="4719320"/>
            <wp:effectExtent l="0" t="0" r="10795" b="5080"/>
            <wp:docPr id="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2"/>
                    <pic:cNvPicPr>
                      <a:picLocks noChangeAspect="1"/>
                    </pic:cNvPicPr>
                  </pic:nvPicPr>
                  <pic:blipFill>
                    <a:blip r:embed="rId9"/>
                    <a:stretch>
                      <a:fillRect/>
                    </a:stretch>
                  </pic:blipFill>
                  <pic:spPr>
                    <a:xfrm>
                      <a:off x="0" y="0"/>
                      <a:ext cx="5272405" cy="4719320"/>
                    </a:xfrm>
                    <a:prstGeom prst="rect">
                      <a:avLst/>
                    </a:prstGeom>
                    <a:noFill/>
                    <a:ln>
                      <a:noFill/>
                    </a:ln>
                  </pic:spPr>
                </pic:pic>
              </a:graphicData>
            </a:graphic>
          </wp:inline>
        </w:drawing>
      </w:r>
    </w:p>
    <w:p>
      <w:pPr>
        <w:ind w:firstLine="640" w:firstLineChars="200"/>
        <w:rPr>
          <w:rFonts w:hint="eastAsia" w:ascii="仿宋" w:hAnsi="仿宋" w:eastAsia="仿宋"/>
          <w:sz w:val="32"/>
        </w:rPr>
      </w:pPr>
    </w:p>
    <w:p>
      <w:pPr>
        <w:ind w:firstLine="640" w:firstLineChars="200"/>
        <w:rPr>
          <w:rFonts w:ascii="仿宋" w:hAnsi="仿宋" w:eastAsia="仿宋"/>
          <w:sz w:val="32"/>
        </w:rPr>
      </w:pPr>
      <w:r>
        <w:rPr>
          <w:rFonts w:hint="eastAsia" w:ascii="仿宋" w:hAnsi="仿宋" w:eastAsia="仿宋"/>
          <w:sz w:val="32"/>
        </w:rPr>
        <w:t>六、一般公共预算财政拨款基本支出决算表</w:t>
      </w:r>
    </w:p>
    <w:p>
      <w:pPr>
        <w:rPr>
          <w:rFonts w:hint="eastAsia" w:ascii="仿宋" w:hAnsi="仿宋" w:eastAsia="仿宋"/>
          <w:sz w:val="32"/>
        </w:rPr>
      </w:pPr>
      <w:r>
        <w:drawing>
          <wp:inline distT="0" distB="0" distL="114300" distR="114300">
            <wp:extent cx="5273675" cy="2741930"/>
            <wp:effectExtent l="0" t="0" r="14605" b="127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0"/>
                    <a:stretch>
                      <a:fillRect/>
                    </a:stretch>
                  </pic:blipFill>
                  <pic:spPr>
                    <a:xfrm>
                      <a:off x="0" y="0"/>
                      <a:ext cx="5273675" cy="2741930"/>
                    </a:xfrm>
                    <a:prstGeom prst="rect">
                      <a:avLst/>
                    </a:prstGeom>
                    <a:noFill/>
                    <a:ln>
                      <a:noFill/>
                    </a:ln>
                  </pic:spPr>
                </pic:pic>
              </a:graphicData>
            </a:graphic>
          </wp:inline>
        </w:drawing>
      </w:r>
    </w:p>
    <w:p>
      <w:pPr>
        <w:ind w:firstLine="640" w:firstLineChars="200"/>
        <w:rPr>
          <w:rFonts w:ascii="仿宋" w:hAnsi="仿宋" w:eastAsia="仿宋"/>
          <w:sz w:val="32"/>
        </w:rPr>
      </w:pPr>
      <w:r>
        <w:rPr>
          <w:rFonts w:hint="eastAsia" w:ascii="仿宋" w:hAnsi="仿宋" w:eastAsia="仿宋"/>
          <w:sz w:val="32"/>
        </w:rPr>
        <w:t>七、政府性基金预算财政拨款收入支出决算表</w:t>
      </w:r>
    </w:p>
    <w:p>
      <w:pPr>
        <w:ind w:firstLine="420" w:firstLineChars="200"/>
        <w:rPr>
          <w:rFonts w:hint="eastAsia" w:ascii="仿宋" w:hAnsi="仿宋" w:eastAsia="仿宋"/>
          <w:sz w:val="32"/>
        </w:rPr>
      </w:pPr>
      <w:r>
        <w:drawing>
          <wp:inline distT="0" distB="0" distL="114300" distR="114300">
            <wp:extent cx="5271135" cy="2569210"/>
            <wp:effectExtent l="0" t="0" r="12065" b="889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pic:cNvPicPr>
                  </pic:nvPicPr>
                  <pic:blipFill>
                    <a:blip r:embed="rId11"/>
                    <a:stretch>
                      <a:fillRect/>
                    </a:stretch>
                  </pic:blipFill>
                  <pic:spPr>
                    <a:xfrm>
                      <a:off x="0" y="0"/>
                      <a:ext cx="5271135" cy="2569210"/>
                    </a:xfrm>
                    <a:prstGeom prst="rect">
                      <a:avLst/>
                    </a:prstGeom>
                    <a:noFill/>
                    <a:ln>
                      <a:noFill/>
                    </a:ln>
                  </pic:spPr>
                </pic:pic>
              </a:graphicData>
            </a:graphic>
          </wp:inline>
        </w:drawing>
      </w:r>
    </w:p>
    <w:p>
      <w:pPr>
        <w:ind w:firstLine="640" w:firstLineChars="200"/>
        <w:rPr>
          <w:rFonts w:ascii="仿宋" w:hAnsi="仿宋" w:eastAsia="仿宋"/>
          <w:sz w:val="32"/>
        </w:rPr>
      </w:pPr>
      <w:r>
        <w:rPr>
          <w:rFonts w:hint="eastAsia" w:ascii="仿宋" w:hAnsi="仿宋" w:eastAsia="仿宋"/>
          <w:sz w:val="32"/>
        </w:rPr>
        <w:t>八、国有</w:t>
      </w:r>
      <w:r>
        <w:rPr>
          <w:rFonts w:ascii="仿宋" w:hAnsi="仿宋" w:eastAsia="仿宋"/>
          <w:sz w:val="32"/>
        </w:rPr>
        <w:t>资本经营预算</w:t>
      </w:r>
      <w:r>
        <w:rPr>
          <w:rFonts w:hint="eastAsia" w:ascii="仿宋" w:hAnsi="仿宋" w:eastAsia="仿宋"/>
          <w:sz w:val="32"/>
        </w:rPr>
        <w:t>财政拨款支出</w:t>
      </w:r>
      <w:r>
        <w:rPr>
          <w:rFonts w:ascii="仿宋" w:hAnsi="仿宋" w:eastAsia="仿宋"/>
          <w:sz w:val="32"/>
        </w:rPr>
        <w:t>决算表</w:t>
      </w:r>
    </w:p>
    <w:p>
      <w:pPr>
        <w:ind w:firstLine="420" w:firstLineChars="200"/>
        <w:rPr>
          <w:rFonts w:ascii="仿宋" w:hAnsi="仿宋" w:eastAsia="仿宋"/>
          <w:sz w:val="32"/>
        </w:rPr>
      </w:pPr>
      <w:r>
        <w:drawing>
          <wp:inline distT="0" distB="0" distL="114300" distR="114300">
            <wp:extent cx="5277485" cy="2905125"/>
            <wp:effectExtent l="0" t="0" r="5715"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5277485" cy="2905125"/>
                    </a:xfrm>
                    <a:prstGeom prst="rect">
                      <a:avLst/>
                    </a:prstGeom>
                    <a:noFill/>
                    <a:ln>
                      <a:noFill/>
                    </a:ln>
                  </pic:spPr>
                </pic:pic>
              </a:graphicData>
            </a:graphic>
          </wp:inline>
        </w:drawing>
      </w:r>
    </w:p>
    <w:p>
      <w:pPr>
        <w:ind w:firstLine="640" w:firstLineChars="200"/>
        <w:rPr>
          <w:rFonts w:ascii="仿宋" w:hAnsi="仿宋" w:eastAsia="仿宋"/>
          <w:sz w:val="32"/>
        </w:rPr>
      </w:pPr>
      <w:r>
        <w:rPr>
          <w:rFonts w:hint="eastAsia" w:ascii="仿宋" w:hAnsi="仿宋" w:eastAsia="仿宋"/>
          <w:sz w:val="32"/>
        </w:rPr>
        <w:t>九</w:t>
      </w:r>
      <w:r>
        <w:rPr>
          <w:rFonts w:ascii="仿宋" w:hAnsi="仿宋" w:eastAsia="仿宋"/>
          <w:sz w:val="32"/>
        </w:rPr>
        <w:t>、</w:t>
      </w:r>
      <w:r>
        <w:rPr>
          <w:rFonts w:hint="eastAsia" w:ascii="仿宋" w:hAnsi="仿宋" w:eastAsia="仿宋"/>
          <w:sz w:val="32"/>
        </w:rPr>
        <w:t>财政拨款“三公”经费支出决算表</w:t>
      </w:r>
    </w:p>
    <w:p>
      <w:pPr>
        <w:ind w:firstLine="420" w:firstLineChars="200"/>
        <w:rPr>
          <w:rFonts w:hint="eastAsia" w:ascii="仿宋" w:hAnsi="仿宋" w:eastAsia="仿宋"/>
          <w:sz w:val="32"/>
        </w:rPr>
      </w:pPr>
      <w:r>
        <w:drawing>
          <wp:inline distT="0" distB="0" distL="114300" distR="114300">
            <wp:extent cx="5271135" cy="1858010"/>
            <wp:effectExtent l="0" t="0" r="12065" b="889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5271135" cy="1858010"/>
                    </a:xfrm>
                    <a:prstGeom prst="rect">
                      <a:avLst/>
                    </a:prstGeom>
                    <a:noFill/>
                    <a:ln>
                      <a:noFill/>
                    </a:ln>
                  </pic:spPr>
                </pic:pic>
              </a:graphicData>
            </a:graphic>
          </wp:inline>
        </w:drawing>
      </w:r>
    </w:p>
    <w:p>
      <w:pPr>
        <w:ind w:firstLine="640" w:firstLineChars="200"/>
        <w:rPr>
          <w:rFonts w:ascii="仿宋" w:hAnsi="仿宋" w:eastAsia="仿宋"/>
          <w:sz w:val="32"/>
        </w:rPr>
      </w:pPr>
      <w:r>
        <w:rPr>
          <w:rFonts w:hint="eastAsia" w:ascii="仿宋" w:hAnsi="仿宋" w:eastAsia="仿宋"/>
          <w:color w:val="auto"/>
          <w:sz w:val="32"/>
          <w:highlight w:val="none"/>
        </w:rPr>
        <w:t>十、</w:t>
      </w:r>
      <w:r>
        <w:rPr>
          <w:rFonts w:hint="eastAsia" w:ascii="仿宋" w:hAnsi="仿宋" w:eastAsia="仿宋"/>
          <w:sz w:val="32"/>
        </w:rPr>
        <w:t>部门预算项目支出绩效自评表</w:t>
      </w:r>
    </w:p>
    <w:p>
      <w:pPr>
        <w:jc w:val="center"/>
        <w:rPr>
          <w:rFonts w:hint="eastAsia" w:ascii="仿宋" w:hAnsi="仿宋" w:eastAsia="仿宋"/>
          <w:sz w:val="32"/>
        </w:rPr>
      </w:pPr>
      <w:r>
        <w:drawing>
          <wp:inline distT="0" distB="0" distL="114300" distR="114300">
            <wp:extent cx="5270500" cy="7116445"/>
            <wp:effectExtent l="0" t="0" r="0" b="8255"/>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ChangeAspect="1"/>
                    </pic:cNvPicPr>
                  </pic:nvPicPr>
                  <pic:blipFill>
                    <a:blip r:embed="rId14"/>
                    <a:stretch>
                      <a:fillRect/>
                    </a:stretch>
                  </pic:blipFill>
                  <pic:spPr>
                    <a:xfrm>
                      <a:off x="0" y="0"/>
                      <a:ext cx="5270500" cy="7116445"/>
                    </a:xfrm>
                    <a:prstGeom prst="rect">
                      <a:avLst/>
                    </a:prstGeom>
                    <a:noFill/>
                    <a:ln>
                      <a:noFill/>
                    </a:ln>
                  </pic:spPr>
                </pic:pic>
              </a:graphicData>
            </a:graphic>
          </wp:inline>
        </w:drawing>
      </w:r>
    </w:p>
    <w:p>
      <w:pPr>
        <w:jc w:val="center"/>
        <w:rPr>
          <w:rFonts w:ascii="仿宋" w:hAnsi="仿宋" w:eastAsia="仿宋"/>
          <w:sz w:val="44"/>
        </w:rPr>
      </w:pPr>
    </w:p>
    <w:p>
      <w:pPr>
        <w:jc w:val="center"/>
        <w:rPr>
          <w:rFonts w:ascii="仿宋" w:hAnsi="仿宋" w:eastAsia="仿宋"/>
          <w:sz w:val="44"/>
        </w:rPr>
      </w:pPr>
    </w:p>
    <w:p>
      <w:pPr>
        <w:jc w:val="center"/>
        <w:rPr>
          <w:rFonts w:ascii="仿宋" w:hAnsi="仿宋" w:eastAsia="仿宋"/>
          <w:sz w:val="44"/>
        </w:rPr>
      </w:pPr>
    </w:p>
    <w:p>
      <w:pPr>
        <w:jc w:val="center"/>
        <w:rPr>
          <w:rFonts w:ascii="仿宋" w:hAnsi="仿宋" w:eastAsia="仿宋"/>
          <w:sz w:val="44"/>
        </w:rPr>
      </w:pPr>
      <w:r>
        <w:drawing>
          <wp:inline distT="0" distB="0" distL="114300" distR="114300">
            <wp:extent cx="5269865" cy="8042275"/>
            <wp:effectExtent l="0" t="0" r="635" b="9525"/>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15"/>
                    <a:stretch>
                      <a:fillRect/>
                    </a:stretch>
                  </pic:blipFill>
                  <pic:spPr>
                    <a:xfrm>
                      <a:off x="0" y="0"/>
                      <a:ext cx="5269865" cy="8042275"/>
                    </a:xfrm>
                    <a:prstGeom prst="rect">
                      <a:avLst/>
                    </a:prstGeom>
                    <a:noFill/>
                    <a:ln>
                      <a:noFill/>
                    </a:ln>
                  </pic:spPr>
                </pic:pic>
              </a:graphicData>
            </a:graphic>
          </wp:inline>
        </w:drawing>
      </w:r>
    </w:p>
    <w:p>
      <w:pPr>
        <w:jc w:val="center"/>
        <w:rPr>
          <w:rFonts w:ascii="仿宋" w:hAnsi="仿宋" w:eastAsia="仿宋"/>
          <w:sz w:val="44"/>
        </w:rPr>
      </w:pPr>
    </w:p>
    <w:p>
      <w:pPr>
        <w:jc w:val="center"/>
        <w:rPr>
          <w:rFonts w:ascii="仿宋" w:hAnsi="仿宋" w:eastAsia="仿宋"/>
          <w:sz w:val="44"/>
        </w:rPr>
      </w:pPr>
      <w:r>
        <w:drawing>
          <wp:inline distT="0" distB="0" distL="114300" distR="114300">
            <wp:extent cx="5270500" cy="6795770"/>
            <wp:effectExtent l="0" t="0" r="0" b="11430"/>
            <wp:docPr id="1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5"/>
                    <pic:cNvPicPr>
                      <a:picLocks noChangeAspect="1"/>
                    </pic:cNvPicPr>
                  </pic:nvPicPr>
                  <pic:blipFill>
                    <a:blip r:embed="rId16"/>
                    <a:stretch>
                      <a:fillRect/>
                    </a:stretch>
                  </pic:blipFill>
                  <pic:spPr>
                    <a:xfrm>
                      <a:off x="0" y="0"/>
                      <a:ext cx="5270500" cy="6795770"/>
                    </a:xfrm>
                    <a:prstGeom prst="rect">
                      <a:avLst/>
                    </a:prstGeom>
                    <a:noFill/>
                    <a:ln>
                      <a:noFill/>
                    </a:ln>
                  </pic:spPr>
                </pic:pic>
              </a:graphicData>
            </a:graphic>
          </wp:inline>
        </w:drawing>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drawing>
          <wp:inline distT="0" distB="0" distL="114300" distR="114300">
            <wp:extent cx="4717415" cy="8681720"/>
            <wp:effectExtent l="0" t="0" r="6985" b="508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7"/>
                    <a:stretch>
                      <a:fillRect/>
                    </a:stretch>
                  </pic:blipFill>
                  <pic:spPr>
                    <a:xfrm>
                      <a:off x="0" y="0"/>
                      <a:ext cx="4717415" cy="8681720"/>
                    </a:xfrm>
                    <a:prstGeom prst="rect">
                      <a:avLst/>
                    </a:prstGeom>
                    <a:noFill/>
                    <a:ln>
                      <a:noFill/>
                    </a:ln>
                  </pic:spPr>
                </pic:pic>
              </a:graphicData>
            </a:graphic>
          </wp:inline>
        </w:drawing>
      </w:r>
    </w:p>
    <w:p>
      <w:pPr>
        <w:jc w:val="center"/>
        <w:rPr>
          <w:rFonts w:hint="eastAsia" w:ascii="仿宋" w:hAnsi="仿宋" w:eastAsia="仿宋"/>
          <w:sz w:val="44"/>
        </w:rPr>
      </w:pPr>
    </w:p>
    <w:p>
      <w:pPr>
        <w:jc w:val="both"/>
        <w:rPr>
          <w:rFonts w:hint="eastAsia" w:ascii="仿宋" w:hAnsi="仿宋" w:eastAsia="仿宋"/>
          <w:sz w:val="44"/>
        </w:rPr>
      </w:pPr>
    </w:p>
    <w:p>
      <w:pPr>
        <w:jc w:val="center"/>
        <w:rPr>
          <w:rFonts w:hint="eastAsia" w:ascii="仿宋" w:hAnsi="仿宋" w:eastAsia="仿宋"/>
          <w:sz w:val="44"/>
        </w:rPr>
      </w:pPr>
      <w:r>
        <w:drawing>
          <wp:inline distT="0" distB="0" distL="114300" distR="114300">
            <wp:extent cx="5269230" cy="7399655"/>
            <wp:effectExtent l="0" t="0" r="7620" b="10795"/>
            <wp:docPr id="1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pic:cNvPicPr>
                      <a:picLocks noChangeAspect="1"/>
                    </pic:cNvPicPr>
                  </pic:nvPicPr>
                  <pic:blipFill>
                    <a:blip r:embed="rId18"/>
                    <a:stretch>
                      <a:fillRect/>
                    </a:stretch>
                  </pic:blipFill>
                  <pic:spPr>
                    <a:xfrm>
                      <a:off x="0" y="0"/>
                      <a:ext cx="5269230" cy="7399655"/>
                    </a:xfrm>
                    <a:prstGeom prst="rect">
                      <a:avLst/>
                    </a:prstGeom>
                    <a:noFill/>
                    <a:ln>
                      <a:noFill/>
                    </a:ln>
                  </pic:spPr>
                </pic:pic>
              </a:graphicData>
            </a:graphic>
          </wp:inline>
        </w:drawing>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drawing>
          <wp:inline distT="0" distB="0" distL="114300" distR="114300">
            <wp:extent cx="5271770" cy="7194550"/>
            <wp:effectExtent l="0" t="0" r="5080" b="6350"/>
            <wp:docPr id="1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8"/>
                    <pic:cNvPicPr>
                      <a:picLocks noChangeAspect="1"/>
                    </pic:cNvPicPr>
                  </pic:nvPicPr>
                  <pic:blipFill>
                    <a:blip r:embed="rId19"/>
                    <a:stretch>
                      <a:fillRect/>
                    </a:stretch>
                  </pic:blipFill>
                  <pic:spPr>
                    <a:xfrm>
                      <a:off x="0" y="0"/>
                      <a:ext cx="5271770" cy="7194550"/>
                    </a:xfrm>
                    <a:prstGeom prst="rect">
                      <a:avLst/>
                    </a:prstGeom>
                    <a:noFill/>
                    <a:ln>
                      <a:noFill/>
                    </a:ln>
                  </pic:spPr>
                </pic:pic>
              </a:graphicData>
            </a:graphic>
          </wp:inline>
        </w:drawing>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drawing>
          <wp:inline distT="0" distB="0" distL="114300" distR="114300">
            <wp:extent cx="5271135" cy="7788275"/>
            <wp:effectExtent l="0" t="0" r="12065" b="9525"/>
            <wp:docPr id="1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9"/>
                    <pic:cNvPicPr>
                      <a:picLocks noChangeAspect="1"/>
                    </pic:cNvPicPr>
                  </pic:nvPicPr>
                  <pic:blipFill>
                    <a:blip r:embed="rId20"/>
                    <a:stretch>
                      <a:fillRect/>
                    </a:stretch>
                  </pic:blipFill>
                  <pic:spPr>
                    <a:xfrm>
                      <a:off x="0" y="0"/>
                      <a:ext cx="5271135" cy="7788275"/>
                    </a:xfrm>
                    <a:prstGeom prst="rect">
                      <a:avLst/>
                    </a:prstGeom>
                    <a:noFill/>
                    <a:ln>
                      <a:noFill/>
                    </a:ln>
                  </pic:spPr>
                </pic:pic>
              </a:graphicData>
            </a:graphic>
          </wp:inline>
        </w:drawing>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rPr>
          <w:rFonts w:hint="eastAsia" w:ascii="仿宋" w:hAnsi="仿宋" w:eastAsia="仿宋"/>
          <w:sz w:val="44"/>
        </w:rPr>
        <w:t>第三部分 202</w:t>
      </w:r>
      <w:r>
        <w:rPr>
          <w:rFonts w:ascii="仿宋" w:hAnsi="仿宋" w:eastAsia="仿宋"/>
          <w:sz w:val="44"/>
        </w:rPr>
        <w:t>2</w:t>
      </w:r>
      <w:r>
        <w:rPr>
          <w:rFonts w:hint="eastAsia" w:ascii="仿宋" w:hAnsi="仿宋" w:eastAsia="仿宋"/>
          <w:sz w:val="44"/>
        </w:rPr>
        <w:t>年度部门决算情况说明</w:t>
      </w:r>
    </w:p>
    <w:p>
      <w:pPr>
        <w:rPr>
          <w:rFonts w:hint="eastAsia" w:ascii="仿宋" w:hAnsi="仿宋" w:eastAsia="仿宋"/>
          <w:sz w:val="32"/>
        </w:rPr>
      </w:pPr>
      <w:r>
        <w:rPr>
          <w:rFonts w:hint="eastAsia" w:ascii="仿宋" w:hAnsi="仿宋" w:eastAsia="仿宋"/>
          <w:sz w:val="32"/>
        </w:rPr>
        <w:t xml:space="preserve">   </w:t>
      </w:r>
    </w:p>
    <w:p>
      <w:pPr>
        <w:ind w:left="0" w:leftChars="0" w:firstLine="640" w:firstLineChars="200"/>
        <w:rPr>
          <w:rFonts w:hint="eastAsia" w:ascii="仿宋" w:hAnsi="仿宋" w:eastAsia="仿宋"/>
          <w:sz w:val="32"/>
        </w:rPr>
      </w:pPr>
      <w:r>
        <w:rPr>
          <w:rFonts w:hint="eastAsia" w:ascii="仿宋" w:hAnsi="仿宋" w:eastAsia="仿宋"/>
          <w:sz w:val="32"/>
        </w:rPr>
        <w:t xml:space="preserve"> 一、</w:t>
      </w:r>
      <w:r>
        <w:rPr>
          <w:rFonts w:hint="eastAsia" w:ascii="仿宋" w:hAnsi="仿宋" w:eastAsia="仿宋"/>
          <w:sz w:val="32"/>
          <w:szCs w:val="30"/>
        </w:rPr>
        <w:t>收入支出决算总体情况说明</w:t>
      </w:r>
    </w:p>
    <w:p>
      <w:pPr>
        <w:ind w:firstLine="640"/>
        <w:rPr>
          <w:rFonts w:hint="eastAsia" w:ascii="仿宋" w:hAnsi="仿宋" w:eastAsia="仿宋" w:cs="仿宋"/>
          <w:sz w:val="32"/>
          <w:szCs w:val="30"/>
        </w:rPr>
      </w:pPr>
      <w:r>
        <w:rPr>
          <w:rFonts w:hint="eastAsia" w:ascii="仿宋" w:hAnsi="仿宋" w:eastAsia="仿宋"/>
          <w:sz w:val="32"/>
        </w:rPr>
        <w:t>202</w:t>
      </w:r>
      <w:r>
        <w:rPr>
          <w:rFonts w:hint="eastAsia" w:ascii="仿宋" w:hAnsi="仿宋" w:eastAsia="仿宋"/>
          <w:sz w:val="32"/>
          <w:lang w:val="en-US" w:eastAsia="zh-CN"/>
        </w:rPr>
        <w:t>2</w:t>
      </w:r>
      <w:r>
        <w:rPr>
          <w:rFonts w:hint="eastAsia" w:ascii="仿宋" w:hAnsi="仿宋" w:eastAsia="仿宋"/>
          <w:sz w:val="32"/>
        </w:rPr>
        <w:t>年度收、支总计各</w:t>
      </w:r>
      <w:r>
        <w:rPr>
          <w:rFonts w:hint="eastAsia" w:ascii="仿宋" w:hAnsi="仿宋" w:eastAsia="仿宋"/>
          <w:sz w:val="32"/>
          <w:lang w:val="en-US" w:eastAsia="zh-CN"/>
        </w:rPr>
        <w:t>2242.77</w:t>
      </w:r>
      <w:r>
        <w:rPr>
          <w:rFonts w:hint="eastAsia" w:ascii="仿宋" w:hAnsi="仿宋" w:eastAsia="仿宋"/>
          <w:sz w:val="32"/>
          <w:szCs w:val="30"/>
        </w:rPr>
        <w:t>万元。与202</w:t>
      </w:r>
      <w:r>
        <w:rPr>
          <w:rFonts w:hint="eastAsia" w:ascii="仿宋" w:hAnsi="仿宋" w:eastAsia="仿宋"/>
          <w:sz w:val="32"/>
          <w:szCs w:val="30"/>
          <w:lang w:val="en-US" w:eastAsia="zh-CN"/>
        </w:rPr>
        <w:t>1</w:t>
      </w:r>
      <w:r>
        <w:rPr>
          <w:rFonts w:hint="eastAsia" w:ascii="仿宋" w:hAnsi="仿宋" w:eastAsia="仿宋"/>
          <w:sz w:val="32"/>
          <w:szCs w:val="30"/>
        </w:rPr>
        <w:t>年相比，收、支总计各增加</w:t>
      </w:r>
      <w:r>
        <w:rPr>
          <w:rFonts w:hint="eastAsia" w:ascii="仿宋" w:hAnsi="仿宋" w:eastAsia="仿宋"/>
          <w:sz w:val="32"/>
          <w:szCs w:val="30"/>
          <w:lang w:val="en-US" w:eastAsia="zh-CN"/>
        </w:rPr>
        <w:t>98.93</w:t>
      </w:r>
      <w:r>
        <w:rPr>
          <w:rFonts w:hint="eastAsia" w:ascii="仿宋" w:hAnsi="仿宋" w:eastAsia="仿宋"/>
          <w:sz w:val="32"/>
          <w:szCs w:val="30"/>
        </w:rPr>
        <w:t>万元，增长</w:t>
      </w:r>
      <w:r>
        <w:rPr>
          <w:rFonts w:hint="eastAsia" w:ascii="仿宋" w:hAnsi="仿宋" w:eastAsia="仿宋"/>
          <w:sz w:val="32"/>
          <w:szCs w:val="30"/>
          <w:lang w:val="en-US" w:eastAsia="zh-CN"/>
        </w:rPr>
        <w:t>4.6</w:t>
      </w:r>
      <w:r>
        <w:rPr>
          <w:rFonts w:hint="eastAsia" w:ascii="仿宋" w:hAnsi="仿宋" w:eastAsia="仿宋"/>
          <w:sz w:val="32"/>
          <w:szCs w:val="30"/>
        </w:rPr>
        <w:t>%。主要原因：</w:t>
      </w:r>
      <w:r>
        <w:rPr>
          <w:rFonts w:hint="eastAsia" w:ascii="仿宋" w:hAnsi="仿宋" w:eastAsia="仿宋"/>
          <w:sz w:val="32"/>
          <w:szCs w:val="30"/>
          <w:lang w:val="en-US" w:eastAsia="zh-CN"/>
        </w:rPr>
        <w:t>21名</w:t>
      </w:r>
      <w:r>
        <w:rPr>
          <w:rFonts w:hint="eastAsia" w:ascii="仿宋" w:hAnsi="仿宋" w:eastAsia="仿宋"/>
          <w:sz w:val="32"/>
          <w:szCs w:val="30"/>
        </w:rPr>
        <w:t>借用教师编制、工资关系调入本学校，2021年度社会保障缴费未全部支付，剩余部分在2022年度支付</w:t>
      </w:r>
      <w:r>
        <w:rPr>
          <w:rFonts w:hint="eastAsia" w:ascii="仿宋" w:hAnsi="仿宋" w:eastAsia="仿宋"/>
          <w:sz w:val="32"/>
          <w:szCs w:val="30"/>
          <w:lang w:eastAsia="zh-CN"/>
        </w:rPr>
        <w:t>，</w:t>
      </w:r>
      <w:r>
        <w:rPr>
          <w:rFonts w:hint="eastAsia" w:ascii="仿宋" w:hAnsi="仿宋" w:eastAsia="仿宋"/>
          <w:sz w:val="32"/>
          <w:szCs w:val="30"/>
        </w:rPr>
        <w:t>人员经费增加;新增收入支出科目课后服务费列入其他收入，收入支出增加。</w:t>
      </w:r>
    </w:p>
    <w:p>
      <w:pPr>
        <w:ind w:firstLine="645"/>
        <w:rPr>
          <w:rFonts w:hint="eastAsia" w:ascii="仿宋" w:hAnsi="仿宋" w:eastAsia="仿宋"/>
          <w:sz w:val="32"/>
          <w:szCs w:val="30"/>
        </w:rPr>
      </w:pPr>
    </w:p>
    <w:p>
      <w:pPr>
        <w:ind w:firstLine="420" w:firstLineChars="200"/>
        <w:rPr>
          <w:rFonts w:hint="eastAsia" w:ascii="仿宋" w:hAnsi="仿宋" w:eastAsia="仿宋"/>
          <w:color w:val="FF0000"/>
          <w:sz w:val="32"/>
          <w:szCs w:val="30"/>
        </w:rPr>
      </w:pPr>
      <w:r>
        <w:drawing>
          <wp:inline distT="0" distB="0" distL="114300" distR="114300">
            <wp:extent cx="5048250" cy="2571750"/>
            <wp:effectExtent l="4445" t="4445" r="14605" b="14605"/>
            <wp:docPr id="17"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hint="eastAsia" w:ascii="仿宋" w:hAnsi="仿宋" w:eastAsia="仿宋"/>
          <w:sz w:val="32"/>
        </w:rPr>
      </w:pPr>
      <w:r>
        <w:rPr>
          <w:rFonts w:hint="eastAsia" w:ascii="仿宋" w:hAnsi="仿宋" w:eastAsia="仿宋"/>
          <w:sz w:val="32"/>
        </w:rPr>
        <w:t xml:space="preserve">    二、</w:t>
      </w:r>
      <w:r>
        <w:rPr>
          <w:rFonts w:hint="eastAsia" w:ascii="仿宋" w:hAnsi="仿宋" w:eastAsia="仿宋"/>
          <w:sz w:val="32"/>
          <w:szCs w:val="30"/>
        </w:rPr>
        <w:t>收入决算情况说明</w:t>
      </w:r>
    </w:p>
    <w:p>
      <w:pPr>
        <w:ind w:firstLine="640"/>
        <w:rPr>
          <w:rFonts w:hint="eastAsia" w:ascii="仿宋" w:hAnsi="仿宋" w:eastAsia="仿宋"/>
          <w:sz w:val="32"/>
          <w:lang w:eastAsia="zh-CN"/>
        </w:rPr>
      </w:pPr>
      <w:r>
        <w:rPr>
          <w:rFonts w:hint="eastAsia" w:ascii="仿宋" w:hAnsi="仿宋" w:eastAsia="仿宋"/>
          <w:sz w:val="32"/>
        </w:rPr>
        <w:t>本年收入合计</w:t>
      </w:r>
      <w:r>
        <w:rPr>
          <w:rFonts w:hint="eastAsia" w:ascii="仿宋" w:hAnsi="仿宋" w:eastAsia="仿宋"/>
          <w:sz w:val="32"/>
          <w:lang w:val="en-US" w:eastAsia="zh-CN"/>
        </w:rPr>
        <w:t>2183.38</w:t>
      </w:r>
      <w:r>
        <w:rPr>
          <w:rFonts w:hint="eastAsia" w:ascii="仿宋" w:hAnsi="仿宋" w:eastAsia="仿宋"/>
          <w:sz w:val="32"/>
        </w:rPr>
        <w:t>万元，其中：财政拨款收入</w:t>
      </w:r>
      <w:r>
        <w:rPr>
          <w:rFonts w:hint="eastAsia" w:ascii="仿宋" w:hAnsi="仿宋" w:eastAsia="仿宋"/>
          <w:sz w:val="32"/>
          <w:lang w:val="en-US" w:eastAsia="zh-CN"/>
        </w:rPr>
        <w:t>2175.19</w:t>
      </w:r>
      <w:r>
        <w:rPr>
          <w:rFonts w:hint="eastAsia" w:ascii="仿宋" w:hAnsi="仿宋" w:eastAsia="仿宋"/>
          <w:sz w:val="32"/>
        </w:rPr>
        <w:t>万元，占</w:t>
      </w:r>
      <w:r>
        <w:rPr>
          <w:rFonts w:hint="eastAsia" w:ascii="仿宋" w:hAnsi="仿宋" w:eastAsia="仿宋"/>
          <w:sz w:val="32"/>
          <w:lang w:val="en-US" w:eastAsia="zh-CN"/>
        </w:rPr>
        <w:t>99.6</w:t>
      </w:r>
      <w:r>
        <w:rPr>
          <w:rFonts w:hint="eastAsia" w:ascii="仿宋" w:hAnsi="仿宋" w:eastAsia="仿宋"/>
          <w:sz w:val="32"/>
        </w:rPr>
        <w:t>%；其他收入</w:t>
      </w:r>
      <w:r>
        <w:rPr>
          <w:rFonts w:hint="eastAsia" w:ascii="仿宋" w:hAnsi="仿宋" w:eastAsia="仿宋"/>
          <w:sz w:val="32"/>
          <w:lang w:val="en-US" w:eastAsia="zh-CN"/>
        </w:rPr>
        <w:t>8.19</w:t>
      </w:r>
      <w:r>
        <w:rPr>
          <w:rFonts w:hint="eastAsia" w:ascii="仿宋" w:hAnsi="仿宋" w:eastAsia="仿宋"/>
          <w:sz w:val="32"/>
        </w:rPr>
        <w:t>万元，占</w:t>
      </w:r>
      <w:r>
        <w:rPr>
          <w:rFonts w:hint="eastAsia" w:ascii="仿宋" w:hAnsi="仿宋" w:eastAsia="仿宋"/>
          <w:sz w:val="32"/>
          <w:lang w:val="en-US" w:eastAsia="zh-CN"/>
        </w:rPr>
        <w:t>0.4</w:t>
      </w:r>
      <w:r>
        <w:rPr>
          <w:rFonts w:hint="eastAsia" w:ascii="仿宋" w:hAnsi="仿宋" w:eastAsia="仿宋"/>
          <w:sz w:val="32"/>
        </w:rPr>
        <w:t>%</w:t>
      </w:r>
      <w:r>
        <w:rPr>
          <w:rFonts w:hint="eastAsia" w:ascii="仿宋" w:hAnsi="仿宋" w:eastAsia="仿宋"/>
          <w:sz w:val="32"/>
          <w:lang w:eastAsia="zh-CN"/>
        </w:rPr>
        <w:t>。</w:t>
      </w:r>
    </w:p>
    <w:p>
      <w:pPr>
        <w:ind w:firstLine="640"/>
        <w:rPr>
          <w:rFonts w:hint="eastAsia" w:ascii="仿宋" w:hAnsi="仿宋" w:eastAsia="仿宋"/>
          <w:sz w:val="32"/>
        </w:rPr>
      </w:pPr>
      <w:r>
        <w:drawing>
          <wp:inline distT="0" distB="0" distL="114300" distR="114300">
            <wp:extent cx="4963160" cy="2270125"/>
            <wp:effectExtent l="4445" t="4445" r="10795" b="11430"/>
            <wp:docPr id="18" name="图片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rFonts w:hint="eastAsia" w:ascii="仿宋" w:hAnsi="仿宋" w:eastAsia="仿宋"/>
          <w:sz w:val="32"/>
        </w:rPr>
      </w:pPr>
      <w:r>
        <w:rPr>
          <w:rFonts w:hint="eastAsia" w:ascii="仿宋" w:hAnsi="仿宋" w:eastAsia="仿宋"/>
          <w:sz w:val="32"/>
        </w:rPr>
        <w:t xml:space="preserve">    </w:t>
      </w:r>
    </w:p>
    <w:p>
      <w:pPr>
        <w:ind w:firstLine="640" w:firstLineChars="200"/>
        <w:rPr>
          <w:rFonts w:hint="eastAsia" w:ascii="仿宋" w:hAnsi="仿宋" w:eastAsia="仿宋"/>
          <w:sz w:val="32"/>
        </w:rPr>
      </w:pPr>
      <w:r>
        <w:rPr>
          <w:rFonts w:hint="eastAsia" w:ascii="仿宋" w:hAnsi="仿宋" w:eastAsia="仿宋"/>
          <w:sz w:val="32"/>
        </w:rPr>
        <w:t>三、</w:t>
      </w:r>
      <w:r>
        <w:rPr>
          <w:rFonts w:hint="eastAsia" w:ascii="仿宋" w:hAnsi="仿宋" w:eastAsia="仿宋"/>
          <w:sz w:val="32"/>
          <w:szCs w:val="30"/>
        </w:rPr>
        <w:t>支出决算情况说明</w:t>
      </w:r>
    </w:p>
    <w:p>
      <w:pPr>
        <w:ind w:firstLine="640"/>
        <w:rPr>
          <w:rFonts w:hint="eastAsia" w:ascii="仿宋" w:hAnsi="仿宋" w:eastAsia="仿宋"/>
          <w:sz w:val="32"/>
        </w:rPr>
      </w:pPr>
      <w:r>
        <w:rPr>
          <w:rFonts w:hint="eastAsia" w:ascii="仿宋" w:hAnsi="仿宋" w:eastAsia="仿宋"/>
          <w:sz w:val="32"/>
        </w:rPr>
        <w:t>本年支出合计</w:t>
      </w:r>
      <w:r>
        <w:rPr>
          <w:rFonts w:hint="eastAsia" w:ascii="仿宋" w:hAnsi="仿宋" w:eastAsia="仿宋"/>
          <w:sz w:val="32"/>
          <w:lang w:val="en-US" w:eastAsia="zh-CN"/>
        </w:rPr>
        <w:t>2231.09</w:t>
      </w:r>
      <w:r>
        <w:rPr>
          <w:rFonts w:hint="eastAsia" w:ascii="仿宋" w:hAnsi="仿宋" w:eastAsia="仿宋"/>
          <w:sz w:val="32"/>
        </w:rPr>
        <w:t>万元，其中：基本支出</w:t>
      </w:r>
      <w:r>
        <w:rPr>
          <w:rFonts w:hint="eastAsia" w:ascii="仿宋" w:hAnsi="仿宋" w:eastAsia="仿宋"/>
          <w:sz w:val="32"/>
          <w:lang w:val="en-US" w:eastAsia="zh-CN"/>
        </w:rPr>
        <w:t>2126.98</w:t>
      </w:r>
      <w:r>
        <w:rPr>
          <w:rFonts w:hint="eastAsia" w:ascii="仿宋" w:hAnsi="仿宋" w:eastAsia="仿宋"/>
          <w:sz w:val="32"/>
        </w:rPr>
        <w:t>万元，占</w:t>
      </w:r>
      <w:r>
        <w:rPr>
          <w:rFonts w:hint="eastAsia" w:ascii="仿宋" w:hAnsi="仿宋" w:eastAsia="仿宋"/>
          <w:sz w:val="32"/>
          <w:lang w:val="en-US" w:eastAsia="zh-CN"/>
        </w:rPr>
        <w:t>95.3</w:t>
      </w:r>
      <w:r>
        <w:rPr>
          <w:rFonts w:hint="eastAsia" w:ascii="仿宋" w:hAnsi="仿宋" w:eastAsia="仿宋"/>
          <w:sz w:val="32"/>
        </w:rPr>
        <w:t>%；项目支出</w:t>
      </w:r>
      <w:r>
        <w:rPr>
          <w:rFonts w:hint="eastAsia" w:ascii="仿宋" w:hAnsi="仿宋" w:eastAsia="仿宋"/>
          <w:sz w:val="32"/>
          <w:lang w:val="en-US" w:eastAsia="zh-CN"/>
        </w:rPr>
        <w:t>104.11</w:t>
      </w:r>
      <w:r>
        <w:rPr>
          <w:rFonts w:hint="eastAsia" w:ascii="仿宋" w:hAnsi="仿宋" w:eastAsia="仿宋"/>
          <w:sz w:val="32"/>
        </w:rPr>
        <w:t>万元，占</w:t>
      </w:r>
      <w:r>
        <w:rPr>
          <w:rFonts w:hint="eastAsia" w:ascii="仿宋" w:hAnsi="仿宋" w:eastAsia="仿宋"/>
          <w:sz w:val="32"/>
          <w:lang w:val="en-US" w:eastAsia="zh-CN"/>
        </w:rPr>
        <w:t>4.7</w:t>
      </w:r>
      <w:r>
        <w:rPr>
          <w:rFonts w:hint="eastAsia" w:ascii="仿宋" w:hAnsi="仿宋" w:eastAsia="仿宋"/>
          <w:sz w:val="32"/>
        </w:rPr>
        <w:t>%。</w:t>
      </w:r>
    </w:p>
    <w:p>
      <w:pPr>
        <w:ind w:firstLine="640"/>
      </w:pPr>
      <w:r>
        <w:drawing>
          <wp:inline distT="0" distB="0" distL="114300" distR="114300">
            <wp:extent cx="5040630" cy="2609850"/>
            <wp:effectExtent l="4445" t="4445" r="9525" b="1460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hint="eastAsia" w:ascii="仿宋" w:hAnsi="仿宋" w:eastAsia="仿宋"/>
          <w:sz w:val="32"/>
        </w:rPr>
      </w:pPr>
      <w:r>
        <w:rPr>
          <w:rFonts w:hint="eastAsia" w:ascii="仿宋" w:hAnsi="仿宋" w:eastAsia="仿宋"/>
          <w:sz w:val="32"/>
        </w:rPr>
        <w:t xml:space="preserve">    四、</w:t>
      </w:r>
      <w:r>
        <w:rPr>
          <w:rFonts w:hint="eastAsia" w:ascii="仿宋" w:hAnsi="仿宋" w:eastAsia="仿宋"/>
          <w:sz w:val="32"/>
          <w:szCs w:val="30"/>
        </w:rPr>
        <w:t>财政拨款收入支出决算总体情况说明</w:t>
      </w:r>
    </w:p>
    <w:p>
      <w:pPr>
        <w:ind w:firstLine="640" w:firstLineChars="200"/>
        <w:rPr>
          <w:rFonts w:hint="eastAsia" w:ascii="仿宋" w:hAnsi="仿宋" w:eastAsia="仿宋" w:cs="仿宋"/>
          <w:sz w:val="32"/>
          <w:szCs w:val="30"/>
        </w:rPr>
      </w:pPr>
      <w:r>
        <w:rPr>
          <w:rFonts w:hint="eastAsia" w:ascii="仿宋" w:hAnsi="仿宋" w:eastAsia="仿宋"/>
          <w:sz w:val="32"/>
        </w:rPr>
        <w:t>202</w:t>
      </w:r>
      <w:r>
        <w:rPr>
          <w:rFonts w:ascii="仿宋" w:hAnsi="仿宋" w:eastAsia="仿宋"/>
          <w:sz w:val="32"/>
        </w:rPr>
        <w:t>2</w:t>
      </w:r>
      <w:r>
        <w:rPr>
          <w:rFonts w:hint="eastAsia" w:ascii="仿宋" w:hAnsi="仿宋" w:eastAsia="仿宋"/>
          <w:sz w:val="32"/>
        </w:rPr>
        <w:t>年</w:t>
      </w:r>
      <w:r>
        <w:rPr>
          <w:rFonts w:hint="eastAsia" w:ascii="仿宋" w:hAnsi="仿宋" w:eastAsia="仿宋"/>
          <w:sz w:val="32"/>
          <w:szCs w:val="30"/>
        </w:rPr>
        <w:t>度财政拨款收、支总计各</w:t>
      </w:r>
      <w:r>
        <w:rPr>
          <w:rFonts w:hint="eastAsia" w:ascii="仿宋" w:hAnsi="仿宋" w:eastAsia="仿宋"/>
          <w:sz w:val="32"/>
          <w:szCs w:val="30"/>
          <w:lang w:val="en-US" w:eastAsia="zh-CN"/>
        </w:rPr>
        <w:t>2234.58</w:t>
      </w:r>
      <w:r>
        <w:rPr>
          <w:rFonts w:hint="eastAsia" w:ascii="仿宋" w:hAnsi="仿宋" w:eastAsia="仿宋"/>
          <w:sz w:val="32"/>
          <w:szCs w:val="30"/>
        </w:rPr>
        <w:t>万元，与202</w:t>
      </w:r>
      <w:r>
        <w:rPr>
          <w:rFonts w:ascii="仿宋" w:hAnsi="仿宋" w:eastAsia="仿宋"/>
          <w:sz w:val="32"/>
          <w:szCs w:val="30"/>
        </w:rPr>
        <w:t>1</w:t>
      </w:r>
      <w:r>
        <w:rPr>
          <w:rFonts w:hint="eastAsia" w:ascii="仿宋" w:hAnsi="仿宋" w:eastAsia="仿宋"/>
          <w:sz w:val="32"/>
          <w:szCs w:val="30"/>
        </w:rPr>
        <w:t>年相比，财政拨款收、支总计各增加</w:t>
      </w:r>
      <w:r>
        <w:rPr>
          <w:rFonts w:hint="eastAsia" w:ascii="仿宋" w:hAnsi="仿宋" w:eastAsia="仿宋"/>
          <w:sz w:val="32"/>
          <w:szCs w:val="30"/>
          <w:lang w:val="en-US" w:eastAsia="zh-CN"/>
        </w:rPr>
        <w:t>90.74</w:t>
      </w:r>
      <w:r>
        <w:rPr>
          <w:rFonts w:hint="eastAsia" w:ascii="仿宋" w:hAnsi="仿宋" w:eastAsia="仿宋"/>
          <w:sz w:val="32"/>
          <w:szCs w:val="30"/>
        </w:rPr>
        <w:t>万元，增长</w:t>
      </w:r>
      <w:r>
        <w:rPr>
          <w:rFonts w:hint="eastAsia" w:ascii="仿宋" w:hAnsi="仿宋" w:eastAsia="仿宋"/>
          <w:sz w:val="32"/>
          <w:szCs w:val="30"/>
          <w:lang w:val="en-US" w:eastAsia="zh-CN"/>
        </w:rPr>
        <w:t>4.2</w:t>
      </w:r>
      <w:r>
        <w:rPr>
          <w:rFonts w:hint="eastAsia" w:ascii="仿宋" w:hAnsi="仿宋" w:eastAsia="仿宋"/>
          <w:sz w:val="32"/>
          <w:szCs w:val="30"/>
        </w:rPr>
        <w:t xml:space="preserve"> %。主要原因:</w:t>
      </w:r>
      <w:r>
        <w:rPr>
          <w:rFonts w:hint="eastAsia" w:ascii="仿宋" w:hAnsi="仿宋" w:eastAsia="仿宋" w:cs="仿宋"/>
          <w:sz w:val="32"/>
          <w:szCs w:val="30"/>
          <w:lang w:val="en-US" w:eastAsia="zh-CN"/>
        </w:rPr>
        <w:t>21名</w:t>
      </w:r>
      <w:r>
        <w:rPr>
          <w:rFonts w:hint="eastAsia" w:ascii="仿宋" w:hAnsi="仿宋" w:eastAsia="仿宋"/>
          <w:sz w:val="32"/>
          <w:szCs w:val="30"/>
        </w:rPr>
        <w:t>借用教师编制、工资关系调入本学校，2021年度社会保障缴费未全部支付，剩余部分在2022年度支付，人员经费增加,财政拨款收入支出增加。</w:t>
      </w:r>
    </w:p>
    <w:p>
      <w:pPr>
        <w:ind w:left="840" w:hanging="840" w:hangingChars="400"/>
        <w:rPr>
          <w:rFonts w:hint="eastAsia" w:ascii="仿宋" w:hAnsi="仿宋" w:eastAsia="仿宋"/>
          <w:sz w:val="32"/>
        </w:rPr>
      </w:pPr>
      <w:r>
        <w:drawing>
          <wp:inline distT="0" distB="0" distL="114300" distR="114300">
            <wp:extent cx="5048250" cy="2571750"/>
            <wp:effectExtent l="4445" t="4445" r="14605" b="14605"/>
            <wp:docPr id="20"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ascii="仿宋" w:hAnsi="仿宋" w:eastAsia="仿宋"/>
          <w:sz w:val="32"/>
        </w:rPr>
        <w:t xml:space="preserve">    五、</w:t>
      </w:r>
      <w:r>
        <w:rPr>
          <w:rFonts w:hint="eastAsia" w:ascii="仿宋" w:hAnsi="仿宋" w:eastAsia="仿宋"/>
          <w:sz w:val="32"/>
          <w:szCs w:val="30"/>
        </w:rPr>
        <w:t>一般公共预算财政拨款支出决算情况说明</w:t>
      </w:r>
    </w:p>
    <w:p>
      <w:pPr>
        <w:ind w:firstLine="640"/>
        <w:rPr>
          <w:rFonts w:hint="eastAsia" w:ascii="仿宋" w:hAnsi="仿宋" w:eastAsia="仿宋"/>
          <w:b/>
          <w:bCs/>
          <w:sz w:val="32"/>
        </w:rPr>
      </w:pPr>
      <w:r>
        <w:rPr>
          <w:rFonts w:hint="eastAsia" w:ascii="仿宋" w:hAnsi="仿宋" w:eastAsia="仿宋"/>
          <w:b/>
          <w:bCs/>
          <w:sz w:val="32"/>
        </w:rPr>
        <w:t>（一）一般公共</w:t>
      </w:r>
      <w:r>
        <w:rPr>
          <w:rFonts w:ascii="仿宋" w:hAnsi="仿宋" w:eastAsia="仿宋"/>
          <w:b/>
          <w:bCs/>
          <w:sz w:val="32"/>
        </w:rPr>
        <w:t>预算</w:t>
      </w:r>
      <w:r>
        <w:rPr>
          <w:rFonts w:hint="eastAsia" w:ascii="仿宋" w:hAnsi="仿宋" w:eastAsia="仿宋"/>
          <w:b/>
          <w:bCs/>
          <w:sz w:val="32"/>
        </w:rPr>
        <w:t>财政拨款支出决算总体情况</w:t>
      </w:r>
    </w:p>
    <w:p>
      <w:pPr>
        <w:ind w:firstLine="640" w:firstLineChars="200"/>
        <w:rPr>
          <w:rFonts w:hint="eastAsia" w:ascii="仿宋" w:hAnsi="仿宋" w:eastAsia="仿宋" w:cs="仿宋"/>
          <w:sz w:val="32"/>
          <w:szCs w:val="30"/>
        </w:rPr>
      </w:pPr>
      <w:r>
        <w:rPr>
          <w:rFonts w:hint="eastAsia" w:ascii="仿宋" w:hAnsi="仿宋" w:eastAsia="仿宋"/>
          <w:sz w:val="32"/>
        </w:rPr>
        <w:t>202</w:t>
      </w:r>
      <w:r>
        <w:rPr>
          <w:rFonts w:ascii="仿宋" w:hAnsi="仿宋" w:eastAsia="仿宋"/>
          <w:sz w:val="32"/>
        </w:rPr>
        <w:t>2</w:t>
      </w:r>
      <w:r>
        <w:rPr>
          <w:rFonts w:hint="eastAsia" w:ascii="仿宋" w:hAnsi="仿宋" w:eastAsia="仿宋"/>
          <w:sz w:val="32"/>
        </w:rPr>
        <w:t>年</w:t>
      </w:r>
      <w:r>
        <w:rPr>
          <w:rFonts w:hint="eastAsia" w:ascii="仿宋" w:hAnsi="仿宋" w:eastAsia="仿宋"/>
          <w:sz w:val="32"/>
          <w:szCs w:val="30"/>
        </w:rPr>
        <w:t>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2222.90</w:t>
      </w:r>
      <w:r>
        <w:rPr>
          <w:rFonts w:hint="eastAsia" w:ascii="仿宋" w:hAnsi="仿宋" w:eastAsia="仿宋"/>
          <w:sz w:val="32"/>
          <w:szCs w:val="30"/>
        </w:rPr>
        <w:t>万元，占本年支出合计的</w:t>
      </w:r>
      <w:r>
        <w:rPr>
          <w:rFonts w:hint="eastAsia" w:ascii="仿宋" w:hAnsi="仿宋" w:eastAsia="仿宋"/>
          <w:sz w:val="32"/>
          <w:szCs w:val="30"/>
          <w:lang w:val="en-US" w:eastAsia="zh-CN"/>
        </w:rPr>
        <w:t>100</w:t>
      </w:r>
      <w:r>
        <w:rPr>
          <w:rFonts w:hint="eastAsia" w:ascii="仿宋" w:hAnsi="仿宋" w:eastAsia="仿宋"/>
          <w:sz w:val="32"/>
          <w:szCs w:val="30"/>
        </w:rPr>
        <w:t>%。与202</w:t>
      </w:r>
      <w:r>
        <w:rPr>
          <w:rFonts w:ascii="仿宋" w:hAnsi="仿宋" w:eastAsia="仿宋"/>
          <w:sz w:val="32"/>
          <w:szCs w:val="30"/>
        </w:rPr>
        <w:t>1</w:t>
      </w:r>
      <w:r>
        <w:rPr>
          <w:rFonts w:hint="eastAsia" w:ascii="仿宋" w:hAnsi="仿宋" w:eastAsia="仿宋"/>
          <w:sz w:val="32"/>
          <w:szCs w:val="30"/>
        </w:rPr>
        <w:t>年相比，一般</w:t>
      </w:r>
      <w:r>
        <w:rPr>
          <w:rFonts w:ascii="仿宋" w:hAnsi="仿宋" w:eastAsia="仿宋"/>
          <w:sz w:val="32"/>
          <w:szCs w:val="30"/>
        </w:rPr>
        <w:t>公共预算</w:t>
      </w:r>
      <w:r>
        <w:rPr>
          <w:rFonts w:hint="eastAsia" w:ascii="仿宋" w:hAnsi="仿宋" w:eastAsia="仿宋"/>
          <w:sz w:val="32"/>
          <w:szCs w:val="30"/>
        </w:rPr>
        <w:t>财政拨款支出增加</w:t>
      </w:r>
      <w:r>
        <w:rPr>
          <w:rFonts w:hint="eastAsia" w:ascii="仿宋" w:hAnsi="仿宋" w:eastAsia="仿宋"/>
          <w:sz w:val="32"/>
          <w:szCs w:val="30"/>
          <w:lang w:val="en-US" w:eastAsia="zh-CN"/>
        </w:rPr>
        <w:t>138.45</w:t>
      </w:r>
      <w:r>
        <w:rPr>
          <w:rFonts w:hint="eastAsia" w:ascii="仿宋" w:hAnsi="仿宋" w:eastAsia="仿宋"/>
          <w:sz w:val="32"/>
          <w:szCs w:val="30"/>
        </w:rPr>
        <w:t xml:space="preserve"> 万元，增长</w:t>
      </w:r>
      <w:r>
        <w:rPr>
          <w:rFonts w:hint="eastAsia" w:ascii="仿宋" w:hAnsi="仿宋" w:eastAsia="仿宋"/>
          <w:sz w:val="32"/>
          <w:szCs w:val="30"/>
          <w:lang w:val="en-US" w:eastAsia="zh-CN"/>
        </w:rPr>
        <w:t>6.6</w:t>
      </w:r>
      <w:r>
        <w:rPr>
          <w:rFonts w:hint="eastAsia" w:ascii="仿宋" w:hAnsi="仿宋" w:eastAsia="仿宋"/>
          <w:sz w:val="32"/>
          <w:szCs w:val="30"/>
        </w:rPr>
        <w:t>%。主要原因：</w:t>
      </w:r>
      <w:r>
        <w:rPr>
          <w:rFonts w:hint="eastAsia" w:ascii="仿宋" w:hAnsi="仿宋" w:eastAsia="仿宋" w:cs="仿宋"/>
          <w:sz w:val="32"/>
          <w:szCs w:val="30"/>
          <w:lang w:val="en-US" w:eastAsia="zh-CN"/>
        </w:rPr>
        <w:t>21名</w:t>
      </w:r>
      <w:r>
        <w:rPr>
          <w:rFonts w:hint="eastAsia" w:ascii="仿宋" w:hAnsi="仿宋" w:eastAsia="仿宋"/>
          <w:sz w:val="32"/>
          <w:szCs w:val="30"/>
        </w:rPr>
        <w:t>借用教师编制、工资关系调入本学校，2021年度社会保障缴费未全部支付，剩余部分在2022年度支付，人员经费增加,财政拨款收入支出增加。</w:t>
      </w:r>
    </w:p>
    <w:p>
      <w:pPr>
        <w:ind w:firstLine="640"/>
        <w:rPr>
          <w:rFonts w:hint="eastAsia" w:ascii="仿宋" w:hAnsi="仿宋" w:eastAsia="仿宋"/>
          <w:sz w:val="32"/>
          <w:szCs w:val="30"/>
        </w:rPr>
      </w:pPr>
      <w:r>
        <w:drawing>
          <wp:inline distT="0" distB="0" distL="114300" distR="114300">
            <wp:extent cx="5019675" cy="2316480"/>
            <wp:effectExtent l="4445" t="4445" r="5080" b="15875"/>
            <wp:docPr id="2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hint="eastAsia" w:ascii="仿宋" w:hAnsi="仿宋" w:eastAsia="仿宋"/>
          <w:b/>
          <w:bCs/>
          <w:sz w:val="32"/>
        </w:rPr>
      </w:pPr>
      <w:r>
        <w:rPr>
          <w:rFonts w:hint="eastAsia" w:ascii="仿宋" w:hAnsi="仿宋" w:eastAsia="仿宋"/>
          <w:sz w:val="32"/>
        </w:rPr>
        <w:t xml:space="preserve">    </w:t>
      </w:r>
      <w:r>
        <w:rPr>
          <w:rFonts w:hint="eastAsia" w:ascii="仿宋" w:hAnsi="仿宋" w:eastAsia="仿宋"/>
          <w:b/>
          <w:bCs/>
          <w:sz w:val="32"/>
        </w:rPr>
        <w:t>（二）一般公共</w:t>
      </w:r>
      <w:r>
        <w:rPr>
          <w:rFonts w:ascii="仿宋" w:hAnsi="仿宋" w:eastAsia="仿宋"/>
          <w:b/>
          <w:bCs/>
          <w:sz w:val="32"/>
        </w:rPr>
        <w:t>预算</w:t>
      </w:r>
      <w:r>
        <w:rPr>
          <w:rFonts w:hint="eastAsia" w:ascii="仿宋" w:hAnsi="仿宋" w:eastAsia="仿宋"/>
          <w:b/>
          <w:bCs/>
          <w:sz w:val="32"/>
        </w:rPr>
        <w:t>财政拨款支出决算结构情况</w:t>
      </w:r>
    </w:p>
    <w:p>
      <w:pPr>
        <w:ind w:firstLine="640"/>
        <w:rPr>
          <w:rFonts w:hint="eastAsia" w:ascii="仿宋" w:hAnsi="仿宋" w:eastAsia="仿宋"/>
          <w:sz w:val="32"/>
          <w:szCs w:val="30"/>
          <w:lang w:val="en-US" w:eastAsia="zh-CN"/>
        </w:rPr>
      </w:pPr>
      <w:r>
        <w:rPr>
          <w:rFonts w:hint="eastAsia" w:ascii="仿宋" w:hAnsi="仿宋" w:eastAsia="仿宋"/>
          <w:sz w:val="32"/>
          <w:szCs w:val="30"/>
        </w:rPr>
        <w:t>202</w:t>
      </w:r>
      <w:r>
        <w:rPr>
          <w:rFonts w:ascii="仿宋" w:hAnsi="仿宋" w:eastAsia="仿宋"/>
          <w:sz w:val="32"/>
          <w:szCs w:val="30"/>
        </w:rPr>
        <w:t>2</w:t>
      </w:r>
      <w:r>
        <w:rPr>
          <w:rFonts w:hint="eastAsia" w:ascii="仿宋" w:hAnsi="仿宋" w:eastAsia="仿宋"/>
          <w:sz w:val="32"/>
          <w:szCs w:val="30"/>
        </w:rPr>
        <w:t>年度一般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2222.90</w:t>
      </w:r>
      <w:r>
        <w:rPr>
          <w:rFonts w:hint="eastAsia" w:ascii="仿宋" w:hAnsi="仿宋" w:eastAsia="仿宋"/>
          <w:sz w:val="32"/>
          <w:szCs w:val="30"/>
        </w:rPr>
        <w:t>万元，主要用于以下方面：</w:t>
      </w:r>
      <w:r>
        <w:rPr>
          <w:rFonts w:hint="eastAsia" w:ascii="仿宋" w:hAnsi="仿宋" w:eastAsia="仿宋"/>
          <w:sz w:val="32"/>
          <w:szCs w:val="30"/>
          <w:lang w:eastAsia="zh-CN"/>
        </w:rPr>
        <w:t>教育</w:t>
      </w:r>
      <w:r>
        <w:rPr>
          <w:rFonts w:hint="eastAsia" w:ascii="仿宋" w:hAnsi="仿宋" w:eastAsia="仿宋"/>
          <w:sz w:val="32"/>
          <w:szCs w:val="30"/>
        </w:rPr>
        <w:t>（类）支出</w:t>
      </w:r>
      <w:r>
        <w:rPr>
          <w:rFonts w:hint="eastAsia" w:ascii="仿宋" w:hAnsi="仿宋" w:eastAsia="仿宋"/>
          <w:sz w:val="32"/>
          <w:szCs w:val="30"/>
          <w:lang w:val="en-US" w:eastAsia="zh-CN"/>
        </w:rPr>
        <w:t>1651.08</w:t>
      </w:r>
      <w:r>
        <w:rPr>
          <w:rFonts w:hint="eastAsia" w:ascii="仿宋" w:hAnsi="仿宋" w:eastAsia="仿宋"/>
          <w:sz w:val="32"/>
          <w:szCs w:val="30"/>
        </w:rPr>
        <w:t>万元，占</w:t>
      </w:r>
      <w:r>
        <w:rPr>
          <w:rFonts w:hint="eastAsia" w:ascii="仿宋" w:hAnsi="仿宋" w:eastAsia="仿宋"/>
          <w:sz w:val="32"/>
          <w:szCs w:val="30"/>
          <w:lang w:val="en-US" w:eastAsia="zh-CN"/>
        </w:rPr>
        <w:t>74.3</w:t>
      </w:r>
      <w:r>
        <w:rPr>
          <w:rFonts w:hint="eastAsia" w:ascii="仿宋" w:hAnsi="仿宋" w:eastAsia="仿宋"/>
          <w:sz w:val="32"/>
          <w:szCs w:val="30"/>
        </w:rPr>
        <w:t>%；</w:t>
      </w:r>
      <w:r>
        <w:rPr>
          <w:rFonts w:hint="eastAsia" w:ascii="仿宋" w:hAnsi="仿宋" w:eastAsia="仿宋"/>
          <w:sz w:val="32"/>
          <w:szCs w:val="30"/>
          <w:lang w:eastAsia="zh-CN"/>
        </w:rPr>
        <w:t>社会保障和就业</w:t>
      </w:r>
      <w:r>
        <w:rPr>
          <w:rFonts w:hint="eastAsia" w:ascii="仿宋" w:hAnsi="仿宋" w:eastAsia="仿宋"/>
          <w:sz w:val="32"/>
          <w:szCs w:val="30"/>
        </w:rPr>
        <w:t>（类）支出</w:t>
      </w:r>
      <w:r>
        <w:rPr>
          <w:rFonts w:hint="eastAsia" w:ascii="仿宋" w:hAnsi="仿宋" w:eastAsia="仿宋"/>
          <w:sz w:val="32"/>
          <w:szCs w:val="30"/>
          <w:lang w:val="en-US" w:eastAsia="zh-CN"/>
        </w:rPr>
        <w:t>343.04</w:t>
      </w:r>
      <w:r>
        <w:rPr>
          <w:rFonts w:hint="eastAsia" w:ascii="仿宋" w:hAnsi="仿宋" w:eastAsia="仿宋"/>
          <w:sz w:val="32"/>
          <w:szCs w:val="30"/>
        </w:rPr>
        <w:t>万元，占</w:t>
      </w:r>
      <w:r>
        <w:rPr>
          <w:rFonts w:hint="eastAsia" w:ascii="仿宋" w:hAnsi="仿宋" w:eastAsia="仿宋"/>
          <w:sz w:val="32"/>
          <w:szCs w:val="30"/>
          <w:lang w:val="en-US" w:eastAsia="zh-CN"/>
        </w:rPr>
        <w:t>15.4</w:t>
      </w:r>
      <w:r>
        <w:rPr>
          <w:rFonts w:hint="eastAsia" w:ascii="仿宋" w:hAnsi="仿宋" w:eastAsia="仿宋"/>
          <w:sz w:val="32"/>
          <w:szCs w:val="30"/>
        </w:rPr>
        <w:t>%；</w:t>
      </w:r>
      <w:r>
        <w:rPr>
          <w:rFonts w:hint="eastAsia" w:ascii="仿宋" w:hAnsi="仿宋" w:eastAsia="仿宋"/>
          <w:sz w:val="32"/>
          <w:szCs w:val="30"/>
          <w:lang w:eastAsia="zh-CN"/>
        </w:rPr>
        <w:t>卫生健康</w:t>
      </w:r>
      <w:r>
        <w:rPr>
          <w:rFonts w:hint="eastAsia" w:ascii="仿宋" w:hAnsi="仿宋" w:eastAsia="仿宋"/>
          <w:sz w:val="32"/>
          <w:szCs w:val="30"/>
        </w:rPr>
        <w:t>（类）支出</w:t>
      </w:r>
      <w:r>
        <w:rPr>
          <w:rFonts w:hint="eastAsia" w:ascii="仿宋" w:hAnsi="仿宋" w:eastAsia="仿宋"/>
          <w:sz w:val="32"/>
          <w:szCs w:val="30"/>
          <w:lang w:val="en-US" w:eastAsia="zh-CN"/>
        </w:rPr>
        <w:t>95.88</w:t>
      </w:r>
      <w:r>
        <w:rPr>
          <w:rFonts w:hint="eastAsia" w:ascii="仿宋" w:hAnsi="仿宋" w:eastAsia="仿宋"/>
          <w:sz w:val="32"/>
          <w:szCs w:val="30"/>
        </w:rPr>
        <w:t>万元，占</w:t>
      </w:r>
      <w:r>
        <w:rPr>
          <w:rFonts w:hint="eastAsia" w:ascii="仿宋" w:hAnsi="仿宋" w:eastAsia="仿宋"/>
          <w:sz w:val="32"/>
          <w:szCs w:val="30"/>
          <w:lang w:val="en-US" w:eastAsia="zh-CN"/>
        </w:rPr>
        <w:t>4.3</w:t>
      </w:r>
      <w:r>
        <w:rPr>
          <w:rFonts w:hint="eastAsia" w:ascii="仿宋" w:hAnsi="仿宋" w:eastAsia="仿宋"/>
          <w:sz w:val="32"/>
          <w:szCs w:val="30"/>
        </w:rPr>
        <w:t>%；</w:t>
      </w:r>
      <w:r>
        <w:rPr>
          <w:rFonts w:hint="eastAsia" w:ascii="仿宋" w:hAnsi="仿宋" w:eastAsia="仿宋"/>
          <w:sz w:val="32"/>
          <w:szCs w:val="30"/>
          <w:lang w:eastAsia="zh-CN"/>
        </w:rPr>
        <w:t>住房保障</w:t>
      </w:r>
      <w:r>
        <w:rPr>
          <w:rFonts w:hint="eastAsia" w:ascii="仿宋" w:hAnsi="仿宋" w:eastAsia="仿宋"/>
          <w:sz w:val="32"/>
          <w:szCs w:val="30"/>
        </w:rPr>
        <w:t>（类）支出</w:t>
      </w:r>
      <w:r>
        <w:rPr>
          <w:rFonts w:hint="eastAsia" w:ascii="仿宋" w:hAnsi="仿宋" w:eastAsia="仿宋"/>
          <w:sz w:val="32"/>
          <w:szCs w:val="30"/>
          <w:lang w:val="en-US" w:eastAsia="zh-CN"/>
        </w:rPr>
        <w:t>132.90</w:t>
      </w:r>
      <w:r>
        <w:rPr>
          <w:rFonts w:hint="eastAsia" w:ascii="仿宋" w:hAnsi="仿宋" w:eastAsia="仿宋"/>
          <w:sz w:val="32"/>
          <w:szCs w:val="30"/>
        </w:rPr>
        <w:t>万元，占</w:t>
      </w:r>
      <w:r>
        <w:rPr>
          <w:rFonts w:hint="eastAsia" w:ascii="仿宋" w:hAnsi="仿宋" w:eastAsia="仿宋"/>
          <w:sz w:val="32"/>
          <w:szCs w:val="30"/>
          <w:lang w:val="en-US" w:eastAsia="zh-CN"/>
        </w:rPr>
        <w:t>6</w:t>
      </w:r>
      <w:r>
        <w:rPr>
          <w:rFonts w:hint="eastAsia" w:ascii="仿宋" w:hAnsi="仿宋" w:eastAsia="仿宋"/>
          <w:sz w:val="32"/>
          <w:szCs w:val="30"/>
        </w:rPr>
        <w:t>%</w:t>
      </w:r>
      <w:r>
        <w:rPr>
          <w:rFonts w:hint="eastAsia" w:ascii="仿宋" w:hAnsi="仿宋" w:eastAsia="仿宋"/>
          <w:sz w:val="32"/>
          <w:szCs w:val="30"/>
          <w:lang w:val="en-US" w:eastAsia="zh-CN"/>
        </w:rPr>
        <w:t>。</w:t>
      </w:r>
    </w:p>
    <w:p>
      <w:pPr>
        <w:ind w:firstLine="640"/>
        <w:rPr>
          <w:rFonts w:hint="eastAsia" w:ascii="仿宋" w:hAnsi="仿宋" w:eastAsia="仿宋"/>
          <w:sz w:val="32"/>
          <w:szCs w:val="30"/>
        </w:rPr>
      </w:pPr>
      <w:r>
        <w:drawing>
          <wp:inline distT="0" distB="0" distL="114300" distR="114300">
            <wp:extent cx="4802505" cy="2419985"/>
            <wp:effectExtent l="4445" t="4445" r="6350" b="1397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rFonts w:hint="eastAsia" w:ascii="仿宋" w:hAnsi="仿宋" w:eastAsia="仿宋"/>
          <w:b/>
          <w:bCs/>
          <w:sz w:val="32"/>
        </w:rPr>
      </w:pPr>
      <w:r>
        <w:rPr>
          <w:rFonts w:hint="eastAsia" w:ascii="仿宋" w:hAnsi="仿宋" w:eastAsia="仿宋"/>
          <w:sz w:val="32"/>
        </w:rPr>
        <w:t xml:space="preserve">   </w:t>
      </w:r>
      <w:r>
        <w:rPr>
          <w:rFonts w:hint="eastAsia" w:ascii="仿宋" w:hAnsi="仿宋" w:eastAsia="仿宋"/>
          <w:b/>
          <w:bCs/>
          <w:sz w:val="32"/>
        </w:rPr>
        <w:t xml:space="preserve"> （三）一般</w:t>
      </w:r>
      <w:r>
        <w:rPr>
          <w:rFonts w:ascii="仿宋" w:hAnsi="仿宋" w:eastAsia="仿宋"/>
          <w:b/>
          <w:bCs/>
          <w:sz w:val="32"/>
        </w:rPr>
        <w:t>公共预算</w:t>
      </w:r>
      <w:r>
        <w:rPr>
          <w:rFonts w:hint="eastAsia" w:ascii="仿宋" w:hAnsi="仿宋" w:eastAsia="仿宋"/>
          <w:b/>
          <w:bCs/>
          <w:sz w:val="32"/>
        </w:rPr>
        <w:t>财政拨款支出决算具体情况</w:t>
      </w:r>
    </w:p>
    <w:p>
      <w:pPr>
        <w:ind w:firstLine="320" w:firstLineChars="1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2</w:t>
      </w:r>
      <w:r>
        <w:rPr>
          <w:rFonts w:hint="eastAsia" w:ascii="仿宋" w:hAnsi="仿宋" w:eastAsia="仿宋"/>
          <w:sz w:val="32"/>
          <w:szCs w:val="30"/>
        </w:rPr>
        <w:t xml:space="preserve">年度一般公共预算财政拨款支出年初预算为 </w:t>
      </w:r>
      <w:r>
        <w:rPr>
          <w:rFonts w:hint="eastAsia" w:ascii="仿宋" w:hAnsi="仿宋" w:eastAsia="仿宋"/>
          <w:sz w:val="32"/>
          <w:szCs w:val="30"/>
          <w:lang w:val="en-US" w:eastAsia="zh-CN"/>
        </w:rPr>
        <w:t>2234.58</w:t>
      </w:r>
      <w:r>
        <w:rPr>
          <w:rFonts w:hint="eastAsia" w:ascii="仿宋" w:hAnsi="仿宋" w:eastAsia="仿宋"/>
          <w:sz w:val="32"/>
          <w:szCs w:val="30"/>
        </w:rPr>
        <w:t>万元，支出决算为</w:t>
      </w:r>
      <w:r>
        <w:rPr>
          <w:rFonts w:hint="eastAsia" w:ascii="仿宋" w:hAnsi="仿宋" w:eastAsia="仿宋"/>
          <w:sz w:val="32"/>
          <w:szCs w:val="30"/>
          <w:lang w:val="en-US" w:eastAsia="zh-CN"/>
        </w:rPr>
        <w:t>2222.90</w:t>
      </w:r>
      <w:r>
        <w:rPr>
          <w:rFonts w:hint="eastAsia" w:ascii="仿宋" w:hAnsi="仿宋" w:eastAsia="仿宋"/>
          <w:sz w:val="32"/>
          <w:szCs w:val="30"/>
        </w:rPr>
        <w:t>万元，完成年初预算的</w:t>
      </w:r>
      <w:r>
        <w:rPr>
          <w:rFonts w:hint="eastAsia" w:ascii="仿宋" w:hAnsi="仿宋" w:eastAsia="仿宋"/>
          <w:sz w:val="32"/>
          <w:szCs w:val="30"/>
          <w:lang w:val="en-US" w:eastAsia="zh-CN"/>
        </w:rPr>
        <w:t>102.2</w:t>
      </w:r>
      <w:r>
        <w:rPr>
          <w:rFonts w:hint="eastAsia" w:ascii="仿宋" w:hAnsi="仿宋" w:eastAsia="仿宋"/>
          <w:sz w:val="32"/>
          <w:szCs w:val="30"/>
        </w:rPr>
        <w:t>%。主要原因：</w:t>
      </w:r>
      <w:r>
        <w:rPr>
          <w:rFonts w:hint="eastAsia" w:ascii="仿宋" w:hAnsi="仿宋" w:eastAsia="仿宋"/>
          <w:sz w:val="32"/>
          <w:szCs w:val="30"/>
          <w:lang w:eastAsia="zh-CN"/>
        </w:rPr>
        <w:t>有</w:t>
      </w:r>
      <w:r>
        <w:rPr>
          <w:rFonts w:hint="eastAsia" w:ascii="仿宋" w:hAnsi="仿宋" w:eastAsia="仿宋"/>
          <w:sz w:val="32"/>
          <w:szCs w:val="30"/>
          <w:lang w:val="en-US" w:eastAsia="zh-CN"/>
        </w:rPr>
        <w:t>21名教师调入我校至使</w:t>
      </w:r>
      <w:r>
        <w:rPr>
          <w:rFonts w:hint="eastAsia" w:ascii="仿宋" w:hAnsi="仿宋" w:eastAsia="仿宋"/>
          <w:sz w:val="32"/>
          <w:szCs w:val="30"/>
        </w:rPr>
        <w:t>一般公共预算财政拨款支出</w:t>
      </w:r>
      <w:r>
        <w:rPr>
          <w:rFonts w:hint="eastAsia" w:ascii="仿宋" w:hAnsi="仿宋" w:eastAsia="仿宋"/>
          <w:sz w:val="32"/>
          <w:szCs w:val="30"/>
          <w:lang w:eastAsia="zh-CN"/>
        </w:rPr>
        <w:t>增加</w:t>
      </w:r>
      <w:r>
        <w:rPr>
          <w:rFonts w:hint="eastAsia" w:ascii="仿宋" w:hAnsi="仿宋" w:eastAsia="仿宋"/>
          <w:sz w:val="32"/>
          <w:szCs w:val="30"/>
        </w:rPr>
        <w:t>。其中：</w:t>
      </w:r>
    </w:p>
    <w:p>
      <w:pPr>
        <w:ind w:left="0" w:leftChars="0" w:firstLine="640" w:firstLineChars="200"/>
        <w:rPr>
          <w:rFonts w:hint="eastAsia" w:ascii="仿宋" w:hAnsi="仿宋" w:eastAsia="仿宋" w:cs="仿宋"/>
          <w:kern w:val="0"/>
          <w:sz w:val="32"/>
          <w:szCs w:val="32"/>
        </w:rPr>
      </w:pPr>
      <w:r>
        <w:rPr>
          <w:rFonts w:hint="eastAsia" w:ascii="仿宋" w:hAnsi="仿宋" w:eastAsia="仿宋" w:cs="宋体"/>
          <w:color w:val="000000"/>
          <w:kern w:val="0"/>
          <w:sz w:val="32"/>
          <w:szCs w:val="32"/>
          <w:highlight w:val="none"/>
          <w:lang w:eastAsia="zh-CN"/>
        </w:rPr>
        <w:t>１．</w:t>
      </w:r>
      <w:r>
        <w:rPr>
          <w:rFonts w:ascii="仿宋" w:hAnsi="仿宋" w:eastAsia="仿宋" w:cs="宋体"/>
          <w:color w:val="000000"/>
          <w:kern w:val="0"/>
          <w:sz w:val="32"/>
          <w:szCs w:val="32"/>
          <w:highlight w:val="none"/>
        </w:rPr>
        <w:t>教育支出</w:t>
      </w:r>
      <w:r>
        <w:rPr>
          <w:rFonts w:hint="eastAsia" w:ascii="仿宋" w:hAnsi="仿宋" w:eastAsia="仿宋" w:cs="仿宋"/>
          <w:color w:val="000000"/>
          <w:kern w:val="0"/>
          <w:sz w:val="32"/>
          <w:szCs w:val="32"/>
          <w:highlight w:val="none"/>
        </w:rPr>
        <w:t>（类）</w:t>
      </w:r>
      <w:r>
        <w:rPr>
          <w:rFonts w:hint="eastAsia" w:ascii="仿宋" w:hAnsi="仿宋" w:eastAsia="仿宋" w:cs="仿宋"/>
          <w:kern w:val="0"/>
          <w:sz w:val="32"/>
          <w:szCs w:val="32"/>
        </w:rPr>
        <w:t>普通教育（款）</w:t>
      </w:r>
      <w:r>
        <w:rPr>
          <w:rFonts w:ascii="仿宋" w:hAnsi="仿宋" w:eastAsia="仿宋" w:cs="宋体"/>
          <w:color w:val="333333"/>
          <w:kern w:val="0"/>
          <w:sz w:val="32"/>
          <w:szCs w:val="32"/>
        </w:rPr>
        <w:t>学前教育</w:t>
      </w:r>
      <w:r>
        <w:rPr>
          <w:rFonts w:hint="eastAsia" w:ascii="仿宋" w:hAnsi="仿宋" w:eastAsia="仿宋" w:cs="仿宋"/>
          <w:kern w:val="0"/>
          <w:sz w:val="32"/>
          <w:szCs w:val="32"/>
        </w:rPr>
        <w:t>（项）</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kern w:val="0"/>
          <w:sz w:val="32"/>
          <w:szCs w:val="32"/>
          <w:lang w:val="en-US" w:eastAsia="zh-CN"/>
        </w:rPr>
        <w:t>3.64</w:t>
      </w:r>
      <w:r>
        <w:rPr>
          <w:rFonts w:hint="eastAsia" w:ascii="仿宋" w:hAnsi="仿宋" w:eastAsia="仿宋"/>
          <w:sz w:val="32"/>
          <w:szCs w:val="30"/>
        </w:rPr>
        <w:t>万元，支出决算为</w:t>
      </w:r>
      <w:r>
        <w:rPr>
          <w:rFonts w:hint="eastAsia" w:ascii="仿宋" w:hAnsi="仿宋" w:eastAsia="仿宋" w:cs="宋体"/>
          <w:kern w:val="0"/>
          <w:sz w:val="32"/>
          <w:szCs w:val="32"/>
          <w:lang w:val="en-US" w:eastAsia="zh-CN"/>
        </w:rPr>
        <w:t>3.64</w:t>
      </w:r>
      <w:r>
        <w:rPr>
          <w:rFonts w:hint="eastAsia" w:ascii="仿宋" w:hAnsi="仿宋" w:eastAsia="仿宋"/>
          <w:sz w:val="32"/>
          <w:szCs w:val="30"/>
        </w:rPr>
        <w:t>万元，完成年初预算的100%</w:t>
      </w:r>
      <w:r>
        <w:rPr>
          <w:rFonts w:hint="eastAsia" w:ascii="仿宋" w:hAnsi="仿宋" w:eastAsia="仿宋"/>
          <w:sz w:val="32"/>
          <w:szCs w:val="30"/>
          <w:lang w:eastAsia="zh-CN"/>
        </w:rPr>
        <w:t>。</w:t>
      </w:r>
    </w:p>
    <w:p>
      <w:pPr>
        <w:ind w:left="0" w:leftChars="0" w:firstLine="640" w:firstLineChars="200"/>
        <w:rPr>
          <w:rFonts w:hint="eastAsia" w:ascii="仿宋" w:hAnsi="仿宋" w:eastAsia="仿宋"/>
          <w:sz w:val="32"/>
          <w:szCs w:val="30"/>
        </w:rPr>
      </w:pPr>
      <w:r>
        <w:rPr>
          <w:rFonts w:hint="eastAsia" w:ascii="仿宋" w:hAnsi="仿宋" w:eastAsia="仿宋" w:cs="宋体"/>
          <w:color w:val="000000"/>
          <w:kern w:val="0"/>
          <w:sz w:val="32"/>
          <w:szCs w:val="32"/>
          <w:highlight w:val="none"/>
          <w:lang w:val="en-US" w:eastAsia="zh-CN"/>
        </w:rPr>
        <w:t>2.</w:t>
      </w:r>
      <w:r>
        <w:rPr>
          <w:rFonts w:hint="eastAsia" w:ascii="仿宋" w:hAnsi="仿宋" w:eastAsia="仿宋" w:cs="宋体"/>
          <w:color w:val="000000"/>
          <w:kern w:val="0"/>
          <w:sz w:val="32"/>
          <w:szCs w:val="32"/>
          <w:highlight w:val="none"/>
          <w:lang w:eastAsia="zh-CN"/>
        </w:rPr>
        <w:t>教</w:t>
      </w:r>
      <w:r>
        <w:rPr>
          <w:rFonts w:ascii="仿宋" w:hAnsi="仿宋" w:eastAsia="仿宋" w:cs="宋体"/>
          <w:color w:val="000000"/>
          <w:kern w:val="0"/>
          <w:sz w:val="32"/>
          <w:szCs w:val="32"/>
          <w:highlight w:val="none"/>
        </w:rPr>
        <w:t>育支</w:t>
      </w:r>
      <w:r>
        <w:rPr>
          <w:rFonts w:ascii="仿宋" w:hAnsi="仿宋" w:eastAsia="仿宋" w:cs="宋体"/>
          <w:color w:val="auto"/>
          <w:kern w:val="0"/>
          <w:sz w:val="32"/>
          <w:szCs w:val="32"/>
          <w:highlight w:val="none"/>
        </w:rPr>
        <w:t>出</w:t>
      </w:r>
      <w:r>
        <w:rPr>
          <w:rFonts w:hint="eastAsia" w:ascii="仿宋" w:hAnsi="仿宋" w:eastAsia="仿宋" w:cs="仿宋"/>
          <w:color w:val="000000"/>
          <w:kern w:val="0"/>
          <w:sz w:val="32"/>
          <w:szCs w:val="32"/>
          <w:highlight w:val="none"/>
        </w:rPr>
        <w:t>（类）</w:t>
      </w:r>
      <w:r>
        <w:rPr>
          <w:rFonts w:hint="eastAsia" w:ascii="仿宋" w:hAnsi="仿宋" w:eastAsia="仿宋" w:cs="仿宋"/>
          <w:kern w:val="0"/>
          <w:sz w:val="32"/>
          <w:szCs w:val="32"/>
        </w:rPr>
        <w:t>普通教育（款）</w:t>
      </w:r>
      <w:r>
        <w:rPr>
          <w:rFonts w:ascii="仿宋" w:hAnsi="仿宋" w:eastAsia="仿宋" w:cs="宋体"/>
          <w:color w:val="333333"/>
          <w:kern w:val="0"/>
          <w:sz w:val="32"/>
          <w:szCs w:val="32"/>
        </w:rPr>
        <w:t>小学教育</w:t>
      </w:r>
      <w:r>
        <w:rPr>
          <w:rFonts w:hint="eastAsia" w:ascii="仿宋" w:hAnsi="仿宋" w:eastAsia="仿宋" w:cs="仿宋"/>
          <w:kern w:val="0"/>
          <w:sz w:val="32"/>
          <w:szCs w:val="32"/>
        </w:rPr>
        <w:t>（项）</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1547.4</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1535.73</w:t>
      </w:r>
      <w:r>
        <w:rPr>
          <w:rFonts w:hint="eastAsia" w:ascii="仿宋" w:hAnsi="仿宋" w:eastAsia="仿宋"/>
          <w:sz w:val="32"/>
          <w:szCs w:val="30"/>
        </w:rPr>
        <w:t>万元，完成年初预算的</w:t>
      </w:r>
      <w:r>
        <w:rPr>
          <w:rFonts w:hint="eastAsia" w:ascii="仿宋" w:hAnsi="仿宋" w:eastAsia="仿宋"/>
          <w:sz w:val="32"/>
          <w:szCs w:val="30"/>
          <w:lang w:val="en-US" w:eastAsia="zh-CN"/>
        </w:rPr>
        <w:t>99.2</w:t>
      </w:r>
      <w:r>
        <w:rPr>
          <w:rFonts w:hint="eastAsia" w:ascii="仿宋" w:hAnsi="仿宋" w:eastAsia="仿宋"/>
          <w:sz w:val="32"/>
          <w:szCs w:val="30"/>
        </w:rPr>
        <w:t>%</w:t>
      </w:r>
      <w:r>
        <w:rPr>
          <w:rFonts w:hint="eastAsia" w:ascii="仿宋" w:hAnsi="仿宋" w:eastAsia="仿宋"/>
          <w:sz w:val="32"/>
          <w:szCs w:val="30"/>
          <w:lang w:eastAsia="zh-CN"/>
        </w:rPr>
        <w:t>。</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教育支出（类）普通教育（款）其他普通教育支出（项），年初预算为</w:t>
      </w:r>
      <w:r>
        <w:rPr>
          <w:rFonts w:hint="eastAsia" w:ascii="仿宋" w:hAnsi="仿宋" w:eastAsia="仿宋" w:cs="宋体"/>
          <w:color w:val="333333"/>
          <w:kern w:val="0"/>
          <w:sz w:val="32"/>
          <w:szCs w:val="32"/>
          <w:lang w:val="en-US" w:eastAsia="zh-CN"/>
        </w:rPr>
        <w:t>89.19</w:t>
      </w:r>
      <w:r>
        <w:rPr>
          <w:rFonts w:hint="eastAsia" w:ascii="仿宋" w:hAnsi="仿宋" w:eastAsia="仿宋" w:cs="宋体"/>
          <w:color w:val="333333"/>
          <w:kern w:val="0"/>
          <w:sz w:val="32"/>
          <w:szCs w:val="32"/>
        </w:rPr>
        <w:t>万元，支出决算为</w:t>
      </w:r>
      <w:r>
        <w:rPr>
          <w:rFonts w:hint="eastAsia" w:ascii="仿宋" w:hAnsi="仿宋" w:eastAsia="仿宋" w:cs="宋体"/>
          <w:color w:val="333333"/>
          <w:kern w:val="0"/>
          <w:sz w:val="32"/>
          <w:szCs w:val="32"/>
          <w:lang w:val="en-US" w:eastAsia="zh-CN"/>
        </w:rPr>
        <w:t>89.19</w:t>
      </w:r>
      <w:r>
        <w:rPr>
          <w:rFonts w:hint="eastAsia" w:ascii="仿宋" w:hAnsi="仿宋" w:eastAsia="仿宋" w:cs="宋体"/>
          <w:color w:val="333333"/>
          <w:kern w:val="0"/>
          <w:sz w:val="32"/>
          <w:szCs w:val="32"/>
        </w:rPr>
        <w:t>万元，完成年初预算的</w:t>
      </w:r>
      <w:r>
        <w:rPr>
          <w:rFonts w:hint="eastAsia" w:ascii="仿宋" w:hAnsi="仿宋" w:eastAsia="仿宋" w:cs="宋体"/>
          <w:color w:val="333333"/>
          <w:kern w:val="0"/>
          <w:sz w:val="32"/>
          <w:szCs w:val="32"/>
          <w:lang w:val="en-US" w:eastAsia="zh-CN"/>
        </w:rPr>
        <w:t>100</w:t>
      </w:r>
      <w:r>
        <w:rPr>
          <w:rFonts w:hint="eastAsia" w:ascii="仿宋" w:hAnsi="仿宋" w:eastAsia="仿宋" w:cs="宋体"/>
          <w:color w:val="333333"/>
          <w:kern w:val="0"/>
          <w:sz w:val="32"/>
          <w:szCs w:val="32"/>
        </w:rPr>
        <w:t>%。</w:t>
      </w:r>
    </w:p>
    <w:p>
      <w:pPr>
        <w:numPr>
          <w:ilvl w:val="0"/>
          <w:numId w:val="0"/>
        </w:numPr>
        <w:ind w:left="0" w:leftChars="0" w:firstLine="640" w:firstLineChars="200"/>
        <w:rPr>
          <w:rFonts w:hint="eastAsia" w:ascii="仿宋" w:hAnsi="仿宋" w:eastAsia="仿宋" w:cs="仿宋_GB2312"/>
          <w:sz w:val="32"/>
          <w:szCs w:val="32"/>
        </w:rPr>
      </w:pPr>
      <w:r>
        <w:rPr>
          <w:rFonts w:hint="eastAsia" w:ascii="仿宋" w:hAnsi="仿宋" w:eastAsia="仿宋" w:cs="仿宋_GB2312"/>
          <w:kern w:val="0"/>
          <w:sz w:val="32"/>
          <w:szCs w:val="32"/>
          <w:lang w:val="en-US" w:eastAsia="zh-CN"/>
        </w:rPr>
        <w:t>4.</w:t>
      </w:r>
      <w:r>
        <w:rPr>
          <w:rFonts w:hint="eastAsia" w:ascii="仿宋" w:hAnsi="仿宋" w:eastAsia="仿宋" w:cs="仿宋_GB2312"/>
          <w:kern w:val="0"/>
          <w:sz w:val="32"/>
          <w:szCs w:val="32"/>
        </w:rPr>
        <w:t>教育支出（类）教育附加安排的支出（款）</w:t>
      </w:r>
      <w:r>
        <w:rPr>
          <w:rFonts w:hint="eastAsia" w:ascii="仿宋" w:hAnsi="仿宋" w:eastAsia="仿宋" w:cs="仿宋_GB2312"/>
          <w:color w:val="333333"/>
          <w:kern w:val="0"/>
          <w:sz w:val="32"/>
          <w:szCs w:val="32"/>
        </w:rPr>
        <w:t>其他教育附加费安排的支出</w:t>
      </w:r>
      <w:r>
        <w:rPr>
          <w:rFonts w:hint="eastAsia" w:ascii="仿宋" w:hAnsi="仿宋" w:eastAsia="仿宋" w:cs="仿宋_GB2312"/>
          <w:kern w:val="0"/>
          <w:sz w:val="32"/>
          <w:szCs w:val="32"/>
        </w:rPr>
        <w:t>（项）</w:t>
      </w:r>
      <w:r>
        <w:rPr>
          <w:rFonts w:hint="eastAsia" w:ascii="仿宋" w:hAnsi="仿宋" w:eastAsia="仿宋" w:cs="仿宋_GB2312"/>
          <w:color w:val="333333"/>
          <w:kern w:val="0"/>
          <w:sz w:val="32"/>
          <w:szCs w:val="32"/>
          <w:lang w:val="en-US" w:eastAsia="zh-CN"/>
        </w:rPr>
        <w:t>19.50</w:t>
      </w:r>
      <w:r>
        <w:rPr>
          <w:rFonts w:hint="eastAsia" w:ascii="仿宋" w:hAnsi="仿宋" w:eastAsia="仿宋" w:cs="仿宋_GB2312"/>
          <w:color w:val="333333"/>
          <w:kern w:val="0"/>
          <w:sz w:val="32"/>
          <w:szCs w:val="32"/>
        </w:rPr>
        <w:t>万元，</w:t>
      </w:r>
      <w:r>
        <w:rPr>
          <w:rFonts w:hint="eastAsia" w:ascii="仿宋" w:hAnsi="仿宋" w:eastAsia="仿宋" w:cs="仿宋_GB2312"/>
          <w:sz w:val="32"/>
          <w:szCs w:val="32"/>
        </w:rPr>
        <w:t>年初预算为</w:t>
      </w:r>
      <w:r>
        <w:rPr>
          <w:rFonts w:hint="eastAsia" w:ascii="仿宋" w:hAnsi="仿宋" w:eastAsia="仿宋" w:cs="仿宋_GB2312"/>
          <w:color w:val="333333"/>
          <w:kern w:val="0"/>
          <w:sz w:val="32"/>
          <w:szCs w:val="32"/>
          <w:lang w:val="en-US" w:eastAsia="zh-CN"/>
        </w:rPr>
        <w:t>19.50</w:t>
      </w:r>
      <w:r>
        <w:rPr>
          <w:rFonts w:hint="eastAsia" w:ascii="仿宋" w:hAnsi="仿宋" w:eastAsia="仿宋" w:cs="仿宋_GB2312"/>
          <w:sz w:val="32"/>
          <w:szCs w:val="32"/>
        </w:rPr>
        <w:t>万元，支出决算为</w:t>
      </w:r>
      <w:r>
        <w:rPr>
          <w:rFonts w:hint="eastAsia" w:ascii="仿宋" w:hAnsi="仿宋" w:eastAsia="仿宋" w:cs="仿宋_GB2312"/>
          <w:color w:val="333333"/>
          <w:kern w:val="0"/>
          <w:sz w:val="32"/>
          <w:szCs w:val="32"/>
          <w:lang w:val="en-US" w:eastAsia="zh-CN"/>
        </w:rPr>
        <w:t>19.50</w:t>
      </w:r>
      <w:r>
        <w:rPr>
          <w:rFonts w:hint="eastAsia" w:ascii="仿宋" w:hAnsi="仿宋" w:eastAsia="仿宋" w:cs="仿宋_GB2312"/>
          <w:sz w:val="32"/>
          <w:szCs w:val="32"/>
        </w:rPr>
        <w:t>万元，完成年初预算的100 %。</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宋体"/>
          <w:kern w:val="0"/>
          <w:sz w:val="32"/>
          <w:szCs w:val="32"/>
          <w:lang w:val="en-US" w:eastAsia="zh-CN"/>
        </w:rPr>
        <w:t>5.</w:t>
      </w:r>
      <w:r>
        <w:rPr>
          <w:rFonts w:ascii="仿宋" w:hAnsi="仿宋" w:eastAsia="仿宋" w:cs="宋体"/>
          <w:kern w:val="0"/>
          <w:sz w:val="32"/>
          <w:szCs w:val="32"/>
        </w:rPr>
        <w:t>教育支出</w:t>
      </w:r>
      <w:r>
        <w:rPr>
          <w:rFonts w:hint="eastAsia" w:ascii="仿宋" w:hAnsi="仿宋" w:eastAsia="仿宋" w:cs="仿宋"/>
          <w:kern w:val="0"/>
          <w:sz w:val="32"/>
          <w:szCs w:val="32"/>
        </w:rPr>
        <w:t>（类）</w:t>
      </w:r>
      <w:r>
        <w:rPr>
          <w:rFonts w:ascii="仿宋" w:hAnsi="仿宋" w:eastAsia="仿宋" w:cs="宋体"/>
          <w:color w:val="333333"/>
          <w:kern w:val="0"/>
          <w:sz w:val="32"/>
          <w:szCs w:val="32"/>
        </w:rPr>
        <w:t>其他教育支出</w:t>
      </w:r>
      <w:r>
        <w:rPr>
          <w:rFonts w:hint="eastAsia" w:ascii="仿宋" w:hAnsi="仿宋" w:eastAsia="仿宋" w:cs="仿宋"/>
          <w:kern w:val="0"/>
          <w:sz w:val="32"/>
          <w:szCs w:val="32"/>
        </w:rPr>
        <w:t>（款）</w:t>
      </w:r>
      <w:r>
        <w:rPr>
          <w:rFonts w:ascii="仿宋" w:hAnsi="仿宋" w:eastAsia="仿宋" w:cs="宋体"/>
          <w:color w:val="333333"/>
          <w:kern w:val="0"/>
          <w:sz w:val="32"/>
          <w:szCs w:val="32"/>
        </w:rPr>
        <w:t>其他教育支出</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3.02</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3.02</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3.02</w:t>
      </w:r>
      <w:r>
        <w:rPr>
          <w:rFonts w:hint="eastAsia" w:ascii="仿宋" w:hAnsi="仿宋" w:eastAsia="仿宋"/>
          <w:sz w:val="32"/>
          <w:szCs w:val="30"/>
        </w:rPr>
        <w:t>万元，完成年初预算的100%</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宋体"/>
          <w:color w:val="333333"/>
          <w:kern w:val="0"/>
          <w:sz w:val="32"/>
          <w:szCs w:val="32"/>
          <w:lang w:val="en-US" w:eastAsia="zh-CN"/>
        </w:rPr>
        <w:t>6.</w:t>
      </w:r>
      <w:r>
        <w:rPr>
          <w:rFonts w:ascii="仿宋" w:hAnsi="仿宋" w:eastAsia="仿宋" w:cs="宋体"/>
          <w:color w:val="333333"/>
          <w:kern w:val="0"/>
          <w:sz w:val="32"/>
          <w:szCs w:val="32"/>
        </w:rPr>
        <w:t>社会保障和就业支出</w:t>
      </w:r>
      <w:r>
        <w:rPr>
          <w:rFonts w:hint="eastAsia" w:ascii="仿宋" w:hAnsi="仿宋" w:eastAsia="仿宋" w:cs="仿宋"/>
          <w:kern w:val="0"/>
          <w:sz w:val="32"/>
          <w:szCs w:val="32"/>
        </w:rPr>
        <w:t>（类）行政事业单位养老支出（款）</w:t>
      </w:r>
      <w:r>
        <w:rPr>
          <w:rFonts w:ascii="仿宋" w:hAnsi="仿宋" w:eastAsia="仿宋" w:cs="宋体"/>
          <w:color w:val="333333"/>
          <w:kern w:val="0"/>
          <w:sz w:val="32"/>
          <w:szCs w:val="32"/>
        </w:rPr>
        <w:t>事业单位离退休</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18.27</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18.27</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18.27</w:t>
      </w:r>
      <w:r>
        <w:rPr>
          <w:rFonts w:hint="eastAsia" w:ascii="仿宋" w:hAnsi="仿宋" w:eastAsia="仿宋"/>
          <w:sz w:val="32"/>
          <w:szCs w:val="30"/>
        </w:rPr>
        <w:t>万元，完成年初预算的 100 %</w:t>
      </w:r>
    </w:p>
    <w:p>
      <w:pPr>
        <w:numPr>
          <w:ilvl w:val="0"/>
          <w:numId w:val="0"/>
        </w:numPr>
        <w:tabs>
          <w:tab w:val="left" w:pos="996"/>
        </w:tabs>
        <w:ind w:left="0" w:leftChars="0" w:firstLine="640" w:firstLineChars="200"/>
        <w:rPr>
          <w:rFonts w:hint="eastAsia" w:ascii="仿宋" w:hAnsi="仿宋" w:eastAsia="仿宋" w:cs="仿宋"/>
          <w:kern w:val="0"/>
          <w:sz w:val="32"/>
          <w:szCs w:val="32"/>
        </w:rPr>
      </w:pPr>
      <w:r>
        <w:rPr>
          <w:rFonts w:hint="eastAsia" w:ascii="仿宋" w:hAnsi="仿宋" w:eastAsia="仿宋" w:cs="宋体"/>
          <w:color w:val="333333"/>
          <w:kern w:val="0"/>
          <w:sz w:val="32"/>
          <w:szCs w:val="32"/>
          <w:lang w:val="en-US" w:eastAsia="zh-CN"/>
        </w:rPr>
        <w:t>7.</w:t>
      </w:r>
      <w:r>
        <w:rPr>
          <w:rFonts w:ascii="仿宋" w:hAnsi="仿宋" w:eastAsia="仿宋" w:cs="宋体"/>
          <w:color w:val="333333"/>
          <w:kern w:val="0"/>
          <w:sz w:val="32"/>
          <w:szCs w:val="32"/>
        </w:rPr>
        <w:t>社会保障和就业支出</w:t>
      </w:r>
      <w:r>
        <w:rPr>
          <w:rFonts w:hint="eastAsia" w:ascii="仿宋" w:hAnsi="仿宋" w:eastAsia="仿宋" w:cs="仿宋"/>
          <w:kern w:val="0"/>
          <w:sz w:val="32"/>
          <w:szCs w:val="32"/>
        </w:rPr>
        <w:t>（类）行政事业单位养老支出（款）</w:t>
      </w:r>
      <w:r>
        <w:rPr>
          <w:rFonts w:hint="eastAsia" w:ascii="仿宋" w:hAnsi="仿宋" w:eastAsia="仿宋" w:cs="宋体"/>
          <w:color w:val="333333"/>
          <w:kern w:val="0"/>
          <w:sz w:val="32"/>
          <w:szCs w:val="32"/>
        </w:rPr>
        <w:t>机关事业单位基本养老保险缴费支出</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323.32</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323.32</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323.32</w:t>
      </w:r>
      <w:r>
        <w:rPr>
          <w:rFonts w:hint="eastAsia" w:ascii="仿宋" w:hAnsi="仿宋" w:eastAsia="仿宋"/>
          <w:sz w:val="32"/>
          <w:szCs w:val="30"/>
        </w:rPr>
        <w:t>万元，完成年初预算的 100%</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宋体"/>
          <w:color w:val="333333"/>
          <w:kern w:val="0"/>
          <w:sz w:val="32"/>
          <w:szCs w:val="32"/>
          <w:lang w:val="en-US" w:eastAsia="zh-CN"/>
        </w:rPr>
        <w:t>8.</w:t>
      </w:r>
      <w:r>
        <w:rPr>
          <w:rFonts w:ascii="仿宋" w:hAnsi="仿宋" w:eastAsia="仿宋" w:cs="宋体"/>
          <w:color w:val="333333"/>
          <w:kern w:val="0"/>
          <w:sz w:val="32"/>
          <w:szCs w:val="32"/>
        </w:rPr>
        <w:t>社会保障和就业支出</w:t>
      </w:r>
      <w:r>
        <w:rPr>
          <w:rFonts w:hint="eastAsia" w:ascii="仿宋" w:hAnsi="仿宋" w:eastAsia="仿宋" w:cs="仿宋"/>
          <w:kern w:val="0"/>
          <w:sz w:val="32"/>
          <w:szCs w:val="32"/>
        </w:rPr>
        <w:t>（类）行政事业单位养老支出（款）</w:t>
      </w:r>
      <w:r>
        <w:rPr>
          <w:rFonts w:hint="eastAsia" w:ascii="仿宋" w:hAnsi="仿宋" w:eastAsia="仿宋" w:cs="宋体"/>
          <w:color w:val="333333"/>
          <w:kern w:val="0"/>
          <w:sz w:val="32"/>
          <w:szCs w:val="32"/>
        </w:rPr>
        <w:t>机关事业单位</w:t>
      </w:r>
      <w:r>
        <w:rPr>
          <w:rFonts w:hint="eastAsia" w:ascii="仿宋" w:hAnsi="仿宋" w:eastAsia="仿宋" w:cs="宋体"/>
          <w:color w:val="333333"/>
          <w:kern w:val="0"/>
          <w:sz w:val="32"/>
          <w:szCs w:val="32"/>
          <w:lang w:eastAsia="zh-CN"/>
        </w:rPr>
        <w:t>职业年金</w:t>
      </w:r>
      <w:r>
        <w:rPr>
          <w:rFonts w:hint="eastAsia" w:ascii="仿宋" w:hAnsi="仿宋" w:eastAsia="仿宋" w:cs="宋体"/>
          <w:color w:val="333333"/>
          <w:kern w:val="0"/>
          <w:sz w:val="32"/>
          <w:szCs w:val="32"/>
        </w:rPr>
        <w:t>缴费支出</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1.45</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1.45</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1.45</w:t>
      </w:r>
      <w:r>
        <w:rPr>
          <w:rFonts w:hint="eastAsia" w:ascii="仿宋" w:hAnsi="仿宋" w:eastAsia="仿宋"/>
          <w:sz w:val="32"/>
          <w:szCs w:val="30"/>
        </w:rPr>
        <w:t>万元，完成年初预算的 100%</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卫生健康支出</w:t>
      </w:r>
      <w:r>
        <w:rPr>
          <w:rFonts w:hint="eastAsia" w:ascii="仿宋" w:hAnsi="仿宋" w:eastAsia="仿宋" w:cs="仿宋"/>
          <w:kern w:val="0"/>
          <w:sz w:val="32"/>
          <w:szCs w:val="32"/>
        </w:rPr>
        <w:t>（类）行政事业单位医疗（款）</w:t>
      </w:r>
      <w:r>
        <w:rPr>
          <w:rFonts w:hint="eastAsia" w:ascii="仿宋" w:hAnsi="仿宋" w:eastAsia="仿宋" w:cs="宋体"/>
          <w:color w:val="333333"/>
          <w:kern w:val="0"/>
          <w:sz w:val="32"/>
          <w:szCs w:val="32"/>
          <w:lang w:eastAsia="zh-CN"/>
        </w:rPr>
        <w:t>计划生育事务</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1.60</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cs="Times New Roman"/>
          <w:sz w:val="32"/>
          <w:szCs w:val="30"/>
        </w:rPr>
        <w:t>年初预算为</w:t>
      </w:r>
      <w:r>
        <w:rPr>
          <w:rFonts w:hint="eastAsia" w:ascii="仿宋" w:hAnsi="仿宋" w:eastAsia="仿宋" w:cs="宋体"/>
          <w:color w:val="333333"/>
          <w:kern w:val="0"/>
          <w:sz w:val="32"/>
          <w:szCs w:val="32"/>
          <w:lang w:val="en-US" w:eastAsia="zh-CN"/>
        </w:rPr>
        <w:t>1.60</w:t>
      </w:r>
      <w:r>
        <w:rPr>
          <w:rFonts w:hint="eastAsia" w:ascii="仿宋" w:hAnsi="仿宋" w:eastAsia="仿宋" w:cs="Times New Roman"/>
          <w:sz w:val="32"/>
          <w:szCs w:val="30"/>
        </w:rPr>
        <w:t>万元，支出决算为</w:t>
      </w:r>
      <w:r>
        <w:rPr>
          <w:rFonts w:hint="eastAsia" w:ascii="仿宋" w:hAnsi="仿宋" w:eastAsia="仿宋" w:cs="宋体"/>
          <w:color w:val="333333"/>
          <w:kern w:val="0"/>
          <w:sz w:val="32"/>
          <w:szCs w:val="32"/>
          <w:lang w:val="en-US" w:eastAsia="zh-CN"/>
        </w:rPr>
        <w:t>1.60</w:t>
      </w:r>
      <w:r>
        <w:rPr>
          <w:rFonts w:hint="eastAsia" w:ascii="仿宋" w:hAnsi="仿宋" w:eastAsia="仿宋" w:cs="Times New Roman"/>
          <w:sz w:val="32"/>
          <w:szCs w:val="30"/>
        </w:rPr>
        <w:t>万元，完成年初预算的100%</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仿宋"/>
          <w:color w:val="333333"/>
          <w:kern w:val="0"/>
          <w:sz w:val="32"/>
          <w:szCs w:val="32"/>
          <w:lang w:val="en-US" w:eastAsia="zh-CN"/>
        </w:rPr>
        <w:t>10.</w:t>
      </w:r>
      <w:r>
        <w:rPr>
          <w:rFonts w:hint="eastAsia" w:ascii="仿宋" w:hAnsi="仿宋" w:eastAsia="仿宋" w:cs="仿宋"/>
          <w:color w:val="333333"/>
          <w:kern w:val="0"/>
          <w:sz w:val="32"/>
          <w:szCs w:val="32"/>
        </w:rPr>
        <w:t>卫生健康支出</w:t>
      </w:r>
      <w:r>
        <w:rPr>
          <w:rFonts w:hint="eastAsia" w:ascii="仿宋" w:hAnsi="仿宋" w:eastAsia="仿宋" w:cs="仿宋"/>
          <w:kern w:val="0"/>
          <w:sz w:val="32"/>
          <w:szCs w:val="32"/>
        </w:rPr>
        <w:t>（类）行政事业单位医疗（款）</w:t>
      </w:r>
      <w:r>
        <w:rPr>
          <w:rFonts w:hint="eastAsia" w:ascii="仿宋" w:hAnsi="仿宋" w:eastAsia="仿宋" w:cs="宋体"/>
          <w:color w:val="333333"/>
          <w:kern w:val="0"/>
          <w:sz w:val="32"/>
          <w:szCs w:val="32"/>
        </w:rPr>
        <w:t>事业单位医疗</w:t>
      </w:r>
      <w:r>
        <w:rPr>
          <w:rFonts w:hint="eastAsia" w:ascii="仿宋" w:hAnsi="仿宋" w:eastAsia="仿宋" w:cs="仿宋"/>
          <w:kern w:val="0"/>
          <w:sz w:val="32"/>
          <w:szCs w:val="32"/>
        </w:rPr>
        <w:t>（项）</w:t>
      </w:r>
      <w:r>
        <w:rPr>
          <w:rFonts w:hint="eastAsia" w:ascii="仿宋" w:hAnsi="仿宋" w:eastAsia="仿宋" w:cs="仿宋"/>
          <w:kern w:val="0"/>
          <w:sz w:val="32"/>
          <w:szCs w:val="32"/>
          <w:lang w:val="en-US" w:eastAsia="zh-CN"/>
        </w:rPr>
        <w:t>94.28</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94.28</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94.28</w:t>
      </w:r>
      <w:r>
        <w:rPr>
          <w:rFonts w:hint="eastAsia" w:ascii="仿宋" w:hAnsi="仿宋" w:eastAsia="仿宋"/>
          <w:sz w:val="32"/>
          <w:szCs w:val="30"/>
        </w:rPr>
        <w:t>万元，完成年初预算的100%</w:t>
      </w:r>
    </w:p>
    <w:p>
      <w:pPr>
        <w:numPr>
          <w:ilvl w:val="0"/>
          <w:numId w:val="0"/>
        </w:numPr>
        <w:ind w:left="0" w:leftChars="0" w:firstLine="640" w:firstLineChars="200"/>
        <w:rPr>
          <w:rFonts w:hint="eastAsia" w:ascii="仿宋" w:hAnsi="仿宋" w:eastAsia="仿宋" w:cs="仿宋"/>
          <w:kern w:val="0"/>
          <w:sz w:val="32"/>
          <w:szCs w:val="32"/>
        </w:rPr>
      </w:pP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住房保障支出</w:t>
      </w:r>
      <w:r>
        <w:rPr>
          <w:rFonts w:hint="eastAsia" w:ascii="仿宋" w:hAnsi="仿宋" w:eastAsia="仿宋" w:cs="仿宋"/>
          <w:kern w:val="0"/>
          <w:sz w:val="32"/>
          <w:szCs w:val="32"/>
        </w:rPr>
        <w:t>（类）住房改革支出（款）</w:t>
      </w:r>
      <w:r>
        <w:rPr>
          <w:rFonts w:hint="eastAsia" w:ascii="仿宋" w:hAnsi="仿宋" w:eastAsia="仿宋" w:cs="宋体"/>
          <w:color w:val="333333"/>
          <w:kern w:val="0"/>
          <w:sz w:val="32"/>
          <w:szCs w:val="32"/>
        </w:rPr>
        <w:t>住房公积金</w:t>
      </w:r>
      <w:r>
        <w:rPr>
          <w:rFonts w:hint="eastAsia" w:ascii="仿宋" w:hAnsi="仿宋" w:eastAsia="仿宋" w:cs="仿宋"/>
          <w:kern w:val="0"/>
          <w:sz w:val="32"/>
          <w:szCs w:val="32"/>
        </w:rPr>
        <w:t>（项）</w:t>
      </w:r>
      <w:r>
        <w:rPr>
          <w:rFonts w:hint="eastAsia" w:ascii="仿宋" w:hAnsi="仿宋" w:eastAsia="仿宋" w:cs="宋体"/>
          <w:color w:val="333333"/>
          <w:kern w:val="0"/>
          <w:sz w:val="32"/>
          <w:szCs w:val="32"/>
          <w:lang w:val="en-US" w:eastAsia="zh-CN"/>
        </w:rPr>
        <w:t>132.90</w:t>
      </w:r>
      <w:r>
        <w:rPr>
          <w:rFonts w:hint="eastAsia" w:ascii="仿宋" w:hAnsi="仿宋" w:eastAsia="仿宋" w:cs="宋体"/>
          <w:color w:val="333333"/>
          <w:kern w:val="0"/>
          <w:sz w:val="32"/>
          <w:szCs w:val="32"/>
        </w:rPr>
        <w:t>万</w:t>
      </w:r>
      <w:r>
        <w:rPr>
          <w:rFonts w:ascii="仿宋" w:hAnsi="仿宋" w:eastAsia="仿宋" w:cs="宋体"/>
          <w:color w:val="333333"/>
          <w:kern w:val="0"/>
          <w:sz w:val="32"/>
          <w:szCs w:val="32"/>
        </w:rPr>
        <w:t>元</w:t>
      </w:r>
      <w:r>
        <w:rPr>
          <w:rFonts w:hint="eastAsia" w:ascii="仿宋" w:hAnsi="仿宋" w:eastAsia="仿宋" w:cs="宋体"/>
          <w:color w:val="333333"/>
          <w:kern w:val="0"/>
          <w:sz w:val="32"/>
          <w:szCs w:val="32"/>
        </w:rPr>
        <w:t>，</w:t>
      </w:r>
      <w:r>
        <w:rPr>
          <w:rFonts w:hint="eastAsia" w:ascii="仿宋" w:hAnsi="仿宋" w:eastAsia="仿宋"/>
          <w:sz w:val="32"/>
          <w:szCs w:val="30"/>
        </w:rPr>
        <w:t>年初预算为</w:t>
      </w:r>
      <w:r>
        <w:rPr>
          <w:rFonts w:hint="eastAsia" w:ascii="仿宋" w:hAnsi="仿宋" w:eastAsia="仿宋" w:cs="宋体"/>
          <w:color w:val="333333"/>
          <w:kern w:val="0"/>
          <w:sz w:val="32"/>
          <w:szCs w:val="32"/>
          <w:lang w:val="en-US" w:eastAsia="zh-CN"/>
        </w:rPr>
        <w:t>132.91</w:t>
      </w:r>
      <w:r>
        <w:rPr>
          <w:rFonts w:hint="eastAsia" w:ascii="仿宋" w:hAnsi="仿宋" w:eastAsia="仿宋"/>
          <w:sz w:val="32"/>
          <w:szCs w:val="30"/>
        </w:rPr>
        <w:t>万元，支出决算为</w:t>
      </w:r>
      <w:r>
        <w:rPr>
          <w:rFonts w:hint="eastAsia" w:ascii="仿宋" w:hAnsi="仿宋" w:eastAsia="仿宋" w:cs="宋体"/>
          <w:color w:val="333333"/>
          <w:kern w:val="0"/>
          <w:sz w:val="32"/>
          <w:szCs w:val="32"/>
          <w:lang w:val="en-US" w:eastAsia="zh-CN"/>
        </w:rPr>
        <w:t>132.90</w:t>
      </w:r>
      <w:r>
        <w:rPr>
          <w:rFonts w:hint="eastAsia" w:ascii="仿宋" w:hAnsi="仿宋" w:eastAsia="仿宋"/>
          <w:sz w:val="32"/>
          <w:szCs w:val="30"/>
        </w:rPr>
        <w:t>万元，完成年初预算的100%</w:t>
      </w:r>
      <w:r>
        <w:rPr>
          <w:rFonts w:hint="eastAsia" w:ascii="仿宋" w:hAnsi="仿宋" w:eastAsia="仿宋"/>
          <w:sz w:val="32"/>
          <w:szCs w:val="30"/>
          <w:lang w:eastAsia="zh-CN"/>
        </w:rPr>
        <w:t>。</w:t>
      </w:r>
    </w:p>
    <w:p>
      <w:pPr>
        <w:rPr>
          <w:rFonts w:hint="eastAsia" w:ascii="仿宋" w:hAnsi="仿宋" w:eastAsia="仿宋"/>
          <w:sz w:val="32"/>
        </w:rPr>
      </w:pPr>
      <w:r>
        <w:rPr>
          <w:rFonts w:hint="eastAsia" w:ascii="仿宋" w:hAnsi="仿宋" w:eastAsia="仿宋"/>
          <w:sz w:val="32"/>
        </w:rPr>
        <w:t xml:space="preserve">    六、</w:t>
      </w:r>
      <w:r>
        <w:rPr>
          <w:rFonts w:hint="eastAsia" w:ascii="仿宋" w:hAnsi="仿宋" w:eastAsia="仿宋"/>
          <w:sz w:val="32"/>
          <w:szCs w:val="30"/>
        </w:rPr>
        <w:t>一般公共预算财政拨款基本支出决算情况说明</w:t>
      </w:r>
    </w:p>
    <w:p>
      <w:pPr>
        <w:rPr>
          <w:rFonts w:hint="eastAsia" w:ascii="仿宋" w:hAnsi="仿宋" w:eastAsia="仿宋"/>
          <w:sz w:val="32"/>
          <w:szCs w:val="30"/>
        </w:rPr>
      </w:pPr>
      <w:r>
        <w:rPr>
          <w:rFonts w:hint="eastAsia" w:ascii="仿宋" w:hAnsi="仿宋" w:eastAsia="仿宋"/>
          <w:sz w:val="32"/>
          <w:szCs w:val="30"/>
          <w:lang w:eastAsia="zh-CN"/>
        </w:rPr>
        <w:t>　　</w:t>
      </w:r>
      <w:r>
        <w:rPr>
          <w:rFonts w:hint="eastAsia" w:ascii="仿宋" w:hAnsi="仿宋" w:eastAsia="仿宋"/>
          <w:sz w:val="32"/>
          <w:szCs w:val="30"/>
        </w:rPr>
        <w:t>202</w:t>
      </w:r>
      <w:r>
        <w:rPr>
          <w:rFonts w:hint="eastAsia" w:ascii="仿宋" w:hAnsi="仿宋" w:eastAsia="仿宋"/>
          <w:sz w:val="32"/>
          <w:szCs w:val="30"/>
          <w:lang w:val="en-US" w:eastAsia="zh-CN"/>
        </w:rPr>
        <w:t>2</w:t>
      </w:r>
      <w:r>
        <w:rPr>
          <w:rFonts w:hint="eastAsia" w:ascii="仿宋" w:hAnsi="仿宋" w:eastAsia="仿宋"/>
          <w:sz w:val="32"/>
          <w:szCs w:val="30"/>
        </w:rPr>
        <w:t>年度一般</w:t>
      </w:r>
      <w:r>
        <w:rPr>
          <w:rFonts w:ascii="仿宋" w:hAnsi="仿宋" w:eastAsia="仿宋"/>
          <w:sz w:val="32"/>
          <w:szCs w:val="30"/>
        </w:rPr>
        <w:t>公共预算</w:t>
      </w:r>
      <w:r>
        <w:rPr>
          <w:rFonts w:hint="eastAsia" w:ascii="仿宋" w:hAnsi="仿宋" w:eastAsia="仿宋"/>
          <w:sz w:val="32"/>
          <w:szCs w:val="30"/>
        </w:rPr>
        <w:t>财政拨款基本支出</w:t>
      </w:r>
      <w:r>
        <w:rPr>
          <w:rFonts w:hint="eastAsia" w:ascii="仿宋" w:hAnsi="仿宋" w:eastAsia="仿宋"/>
          <w:sz w:val="30"/>
          <w:szCs w:val="30"/>
        </w:rPr>
        <w:t xml:space="preserve"> </w:t>
      </w:r>
      <w:r>
        <w:rPr>
          <w:rFonts w:hint="eastAsia" w:ascii="宋体" w:hAnsi="宋体" w:eastAsia="仿宋" w:cs="宋体"/>
          <w:kern w:val="0"/>
          <w:sz w:val="30"/>
          <w:szCs w:val="30"/>
          <w:lang w:val="en-US" w:eastAsia="zh-CN"/>
        </w:rPr>
        <w:t>2118.79</w:t>
      </w:r>
      <w:r>
        <w:rPr>
          <w:rFonts w:hint="eastAsia" w:ascii="仿宋" w:hAnsi="仿宋" w:eastAsia="仿宋"/>
          <w:sz w:val="32"/>
          <w:szCs w:val="30"/>
        </w:rPr>
        <w:t xml:space="preserve"> 万元，其中：人员经费</w:t>
      </w:r>
      <w:r>
        <w:rPr>
          <w:rFonts w:hint="eastAsia" w:ascii="宋体" w:hAnsi="宋体" w:eastAsia="仿宋" w:cs="宋体"/>
          <w:kern w:val="0"/>
          <w:sz w:val="30"/>
          <w:szCs w:val="30"/>
          <w:lang w:val="en-US" w:eastAsia="zh-CN"/>
        </w:rPr>
        <w:t>2059.39</w:t>
      </w:r>
      <w:r>
        <w:rPr>
          <w:rFonts w:hint="eastAsia" w:ascii="仿宋" w:hAnsi="仿宋" w:eastAsia="仿宋"/>
          <w:sz w:val="32"/>
          <w:szCs w:val="30"/>
        </w:rPr>
        <w:t>万元，主要包括：基本工资、津贴补贴、奖金、绩效工资、机关事业单位基本养老保险缴费、职工</w:t>
      </w:r>
      <w:r>
        <w:rPr>
          <w:rFonts w:ascii="仿宋" w:hAnsi="仿宋" w:eastAsia="仿宋"/>
          <w:sz w:val="32"/>
          <w:szCs w:val="30"/>
        </w:rPr>
        <w:t>基本医疗保险缴费、其他社会保障缴费、住房公积金、医疗费、</w:t>
      </w:r>
      <w:r>
        <w:rPr>
          <w:rFonts w:hint="eastAsia" w:ascii="仿宋" w:hAnsi="仿宋" w:eastAsia="仿宋"/>
          <w:sz w:val="32"/>
          <w:szCs w:val="30"/>
        </w:rPr>
        <w:t>抚恤金、生活补助、助学金。</w:t>
      </w:r>
    </w:p>
    <w:p>
      <w:pPr>
        <w:rPr>
          <w:rFonts w:hint="eastAsia" w:ascii="仿宋" w:hAnsi="仿宋" w:eastAsia="仿宋"/>
          <w:sz w:val="32"/>
        </w:rPr>
      </w:pPr>
      <w:r>
        <w:rPr>
          <w:rFonts w:hint="eastAsia" w:ascii="仿宋" w:hAnsi="仿宋" w:eastAsia="仿宋"/>
          <w:sz w:val="32"/>
          <w:szCs w:val="30"/>
        </w:rPr>
        <w:t xml:space="preserve">    </w:t>
      </w:r>
      <w:r>
        <w:rPr>
          <w:rFonts w:hint="eastAsia" w:ascii="仿宋" w:hAnsi="仿宋" w:eastAsia="仿宋"/>
          <w:sz w:val="32"/>
        </w:rPr>
        <w:t>公用经费</w:t>
      </w:r>
      <w:r>
        <w:rPr>
          <w:rFonts w:hint="eastAsia" w:ascii="仿宋" w:hAnsi="仿宋" w:eastAsia="仿宋"/>
          <w:sz w:val="32"/>
          <w:lang w:val="en-US" w:eastAsia="zh-CN"/>
        </w:rPr>
        <w:t>59.39</w:t>
      </w:r>
      <w:r>
        <w:rPr>
          <w:rFonts w:hint="eastAsia" w:ascii="仿宋" w:hAnsi="仿宋" w:eastAsia="仿宋"/>
          <w:sz w:val="32"/>
        </w:rPr>
        <w:t>万元，主要包括：办公费、手续费、水费、电费、邮电费、取暖费、维修（护）费、劳务费、其他商品和服务支出。</w:t>
      </w:r>
    </w:p>
    <w:p>
      <w:pPr>
        <w:ind w:firstLine="480" w:firstLineChars="150"/>
        <w:rPr>
          <w:rFonts w:hint="eastAsia" w:ascii="仿宋" w:hAnsi="仿宋" w:eastAsia="仿宋"/>
          <w:sz w:val="32"/>
          <w:szCs w:val="30"/>
        </w:rPr>
      </w:pPr>
      <w:r>
        <w:rPr>
          <w:rFonts w:hint="eastAsia" w:ascii="仿宋" w:hAnsi="仿宋" w:eastAsia="仿宋"/>
          <w:sz w:val="32"/>
        </w:rPr>
        <w:t>七、政府性基金预算财政拨款收入支出决算情况说明</w:t>
      </w:r>
    </w:p>
    <w:p>
      <w:pPr>
        <w:ind w:firstLine="640" w:firstLineChars="200"/>
        <w:rPr>
          <w:rFonts w:hint="eastAsia" w:ascii="仿宋" w:hAnsi="仿宋" w:eastAsia="仿宋"/>
          <w:sz w:val="32"/>
          <w:szCs w:val="30"/>
        </w:rPr>
      </w:pPr>
      <w:r>
        <w:rPr>
          <w:rFonts w:hint="eastAsia" w:ascii="仿宋" w:hAnsi="仿宋" w:eastAsia="仿宋"/>
          <w:sz w:val="32"/>
          <w:szCs w:val="30"/>
        </w:rPr>
        <w:t>本年度我单位无</w:t>
      </w:r>
      <w:r>
        <w:rPr>
          <w:rFonts w:hint="eastAsia" w:ascii="仿宋" w:hAnsi="仿宋" w:eastAsia="仿宋"/>
          <w:sz w:val="32"/>
        </w:rPr>
        <w:t>政府性基金预算财政拨款收入支出。</w:t>
      </w:r>
    </w:p>
    <w:p>
      <w:pPr>
        <w:ind w:firstLine="800" w:firstLineChars="250"/>
        <w:rPr>
          <w:rFonts w:ascii="仿宋" w:hAnsi="仿宋" w:eastAsia="仿宋"/>
          <w:sz w:val="32"/>
        </w:rPr>
      </w:pPr>
      <w:r>
        <w:rPr>
          <w:rFonts w:hint="eastAsia" w:ascii="仿宋" w:hAnsi="仿宋" w:eastAsia="仿宋"/>
          <w:sz w:val="32"/>
        </w:rPr>
        <w:t>八、国有</w:t>
      </w:r>
      <w:r>
        <w:rPr>
          <w:rFonts w:ascii="仿宋" w:hAnsi="仿宋" w:eastAsia="仿宋"/>
          <w:sz w:val="32"/>
        </w:rPr>
        <w:t>资本经营预算</w:t>
      </w:r>
      <w:r>
        <w:rPr>
          <w:rFonts w:hint="eastAsia" w:ascii="仿宋" w:hAnsi="仿宋" w:eastAsia="仿宋"/>
          <w:sz w:val="32"/>
        </w:rPr>
        <w:t>财政拨款支出</w:t>
      </w:r>
      <w:r>
        <w:rPr>
          <w:rFonts w:ascii="仿宋" w:hAnsi="仿宋" w:eastAsia="仿宋"/>
          <w:sz w:val="32"/>
        </w:rPr>
        <w:t>决算</w:t>
      </w:r>
      <w:r>
        <w:rPr>
          <w:rFonts w:hint="eastAsia" w:ascii="仿宋" w:hAnsi="仿宋" w:eastAsia="仿宋"/>
          <w:sz w:val="32"/>
        </w:rPr>
        <w:t>情况说明</w:t>
      </w:r>
    </w:p>
    <w:p>
      <w:pPr>
        <w:ind w:firstLine="640" w:firstLineChars="200"/>
        <w:rPr>
          <w:rFonts w:hint="eastAsia" w:ascii="仿宋" w:hAnsi="仿宋" w:eastAsia="仿宋"/>
          <w:sz w:val="32"/>
          <w:szCs w:val="30"/>
        </w:rPr>
      </w:pPr>
      <w:r>
        <w:rPr>
          <w:rFonts w:hint="eastAsia" w:ascii="仿宋" w:hAnsi="仿宋" w:eastAsia="仿宋"/>
          <w:sz w:val="32"/>
          <w:szCs w:val="30"/>
        </w:rPr>
        <w:t>本年度我单位无</w:t>
      </w:r>
      <w:r>
        <w:rPr>
          <w:rFonts w:hint="eastAsia" w:ascii="仿宋" w:hAnsi="仿宋" w:eastAsia="仿宋"/>
          <w:sz w:val="32"/>
        </w:rPr>
        <w:t>国有</w:t>
      </w:r>
      <w:r>
        <w:rPr>
          <w:rFonts w:ascii="仿宋" w:hAnsi="仿宋" w:eastAsia="仿宋"/>
          <w:sz w:val="32"/>
        </w:rPr>
        <w:t>资本经营预算</w:t>
      </w:r>
      <w:r>
        <w:rPr>
          <w:rFonts w:hint="eastAsia" w:ascii="仿宋" w:hAnsi="仿宋" w:eastAsia="仿宋"/>
          <w:sz w:val="32"/>
        </w:rPr>
        <w:t>财政拨款支出。</w:t>
      </w:r>
    </w:p>
    <w:p>
      <w:pPr>
        <w:ind w:firstLine="640" w:firstLineChars="200"/>
        <w:rPr>
          <w:rFonts w:hint="eastAsia" w:ascii="仿宋" w:hAnsi="仿宋" w:eastAsia="仿宋"/>
          <w:sz w:val="32"/>
        </w:rPr>
      </w:pPr>
      <w:r>
        <w:rPr>
          <w:rFonts w:hint="eastAsia" w:ascii="仿宋" w:hAnsi="仿宋" w:eastAsia="仿宋"/>
          <w:sz w:val="32"/>
        </w:rPr>
        <w:t>九、</w:t>
      </w:r>
      <w:r>
        <w:rPr>
          <w:rFonts w:hint="eastAsia" w:ascii="仿宋" w:hAnsi="仿宋" w:eastAsia="仿宋"/>
          <w:sz w:val="32"/>
          <w:szCs w:val="30"/>
        </w:rPr>
        <w:t>财政拨款“三公”经费支出决算情况说明</w:t>
      </w:r>
    </w:p>
    <w:p>
      <w:pPr>
        <w:ind w:firstLine="640" w:firstLineChars="200"/>
        <w:rPr>
          <w:rFonts w:hint="eastAsia" w:ascii="仿宋" w:hAnsi="仿宋" w:eastAsia="仿宋"/>
          <w:sz w:val="32"/>
        </w:rPr>
      </w:pPr>
      <w:r>
        <w:rPr>
          <w:rFonts w:hint="eastAsia" w:ascii="仿宋" w:hAnsi="仿宋" w:eastAsia="仿宋"/>
          <w:sz w:val="32"/>
          <w:szCs w:val="30"/>
        </w:rPr>
        <w:t>本年度我单位无</w:t>
      </w:r>
      <w:r>
        <w:rPr>
          <w:rFonts w:hint="eastAsia" w:ascii="仿宋" w:hAnsi="仿宋" w:eastAsia="仿宋"/>
          <w:sz w:val="32"/>
        </w:rPr>
        <w:t>“三公”经费财政拨款支出。</w:t>
      </w:r>
    </w:p>
    <w:p>
      <w:pPr>
        <w:numPr>
          <w:ilvl w:val="0"/>
          <w:numId w:val="0"/>
        </w:numPr>
        <w:ind w:firstLine="640" w:firstLineChars="200"/>
        <w:rPr>
          <w:rFonts w:hint="eastAsia" w:ascii="仿宋" w:hAnsi="仿宋" w:eastAsia="仿宋"/>
          <w:sz w:val="32"/>
        </w:rPr>
      </w:pPr>
      <w:r>
        <w:rPr>
          <w:rFonts w:hint="eastAsia" w:ascii="仿宋" w:hAnsi="仿宋" w:eastAsia="仿宋" w:cs="Times New Roman"/>
          <w:sz w:val="32"/>
          <w:lang w:val="en-US" w:eastAsia="zh-CN"/>
        </w:rPr>
        <w:t>十、</w:t>
      </w:r>
      <w:r>
        <w:rPr>
          <w:rFonts w:hint="eastAsia" w:ascii="仿宋" w:hAnsi="仿宋" w:eastAsia="仿宋" w:cs="Times New Roman"/>
          <w:sz w:val="32"/>
        </w:rPr>
        <w:t>关于2022年度预算绩</w:t>
      </w:r>
      <w:r>
        <w:rPr>
          <w:rFonts w:hint="eastAsia" w:ascii="仿宋" w:hAnsi="仿宋" w:eastAsia="仿宋"/>
          <w:sz w:val="32"/>
        </w:rPr>
        <w:t>效管理情况的说明</w:t>
      </w:r>
    </w:p>
    <w:p>
      <w:pPr>
        <w:keepNext w:val="0"/>
        <w:keepLines w:val="0"/>
        <w:widowControl w:val="0"/>
        <w:suppressLineNumbers w:val="0"/>
        <w:spacing w:before="0" w:beforeAutospacing="0" w:after="0" w:afterAutospacing="0" w:line="580" w:lineRule="exact"/>
        <w:ind w:left="64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（一）绩效评价工作开展情况</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1、组织对2022年度部门预算德惠市米沙子镇中心小学2022年义务教育费用项目等7个二级项目进行了绩效自评，共涉及资金</w:t>
      </w:r>
      <w:r>
        <w:rPr>
          <w:rFonts w:hint="eastAsia" w:ascii="仿宋" w:hAnsi="仿宋" w:eastAsia="仿宋" w:cs="仿宋"/>
          <w:color w:val="auto"/>
          <w:kern w:val="2"/>
          <w:sz w:val="32"/>
          <w:szCs w:val="32"/>
          <w:highlight w:val="none"/>
          <w:lang w:val="en-US" w:eastAsia="zh-CN" w:bidi="ar"/>
        </w:rPr>
        <w:t>115.79</w:t>
      </w:r>
      <w:r>
        <w:rPr>
          <w:rFonts w:hint="eastAsia" w:ascii="仿宋" w:hAnsi="仿宋" w:eastAsia="仿宋" w:cs="仿宋"/>
          <w:kern w:val="2"/>
          <w:sz w:val="32"/>
          <w:szCs w:val="32"/>
          <w:lang w:val="en-US" w:eastAsia="zh-CN" w:bidi="ar"/>
        </w:rPr>
        <w:t>万元，绩效自评率为100%。</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color w:val="auto"/>
          <w:kern w:val="2"/>
          <w:sz w:val="32"/>
          <w:szCs w:val="32"/>
          <w:highlight w:val="none"/>
          <w:lang w:val="en-US" w:eastAsia="zh-CN" w:bidi="ar"/>
        </w:rPr>
        <w:t>2、</w:t>
      </w:r>
      <w:r>
        <w:rPr>
          <w:rFonts w:hint="eastAsia" w:ascii="仿宋" w:hAnsi="仿宋" w:eastAsia="仿宋" w:cs="仿宋"/>
          <w:kern w:val="2"/>
          <w:sz w:val="32"/>
          <w:szCs w:val="32"/>
          <w:lang w:val="en-US" w:eastAsia="zh-CN" w:bidi="ar"/>
        </w:rPr>
        <w:t>组织对小学公用经费补助资金、学生资助补助经费等2个转移支付资金开展了绩效自评，共涉及资金</w:t>
      </w:r>
      <w:r>
        <w:rPr>
          <w:rFonts w:hint="eastAsia" w:ascii="仿宋" w:hAnsi="仿宋" w:eastAsia="仿宋" w:cs="仿宋"/>
          <w:color w:val="auto"/>
          <w:kern w:val="2"/>
          <w:sz w:val="32"/>
          <w:szCs w:val="32"/>
          <w:highlight w:val="none"/>
          <w:lang w:val="en-US" w:eastAsia="zh-CN" w:bidi="ar"/>
        </w:rPr>
        <w:t>48.38</w:t>
      </w:r>
      <w:r>
        <w:rPr>
          <w:rFonts w:hint="eastAsia" w:ascii="仿宋" w:hAnsi="仿宋" w:eastAsia="仿宋" w:cs="仿宋"/>
          <w:kern w:val="2"/>
          <w:sz w:val="32"/>
          <w:szCs w:val="32"/>
          <w:lang w:val="en-US" w:eastAsia="zh-CN" w:bidi="ar"/>
        </w:rPr>
        <w:t>万元，具体情况如下：</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(1)</w:t>
      </w:r>
      <w:r>
        <w:rPr>
          <w:rFonts w:hint="eastAsia" w:ascii="仿宋" w:hAnsi="仿宋" w:eastAsia="仿宋" w:cs="仿宋"/>
          <w:kern w:val="2"/>
          <w:sz w:val="32"/>
          <w:szCs w:val="32"/>
          <w:lang w:val="en-US" w:eastAsia="zh-CN" w:bidi="ar"/>
        </w:rPr>
        <w:t>小学公用经费补助资金开展了绩效自评，共涉及资金47.68万元，执行47.68万元。经费使用只限用于小学教育学校日常公用经费支出，使学校日常运转得以保障，保证了适龄学生接受义务教育，促进了国民素质的提高和义务教育阶段学校均衡发展。2022年公用经费补助资金已于2022年10月31前分春秋两季完成拨付，按照中央、省和地方经费分担比例6：2.4：1.6要求，地方配套资金初中每生每年104元。</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经费100%用于义务教育学校日常公用经费支出，使学校日常运转得以保障，保证了适龄学生接受义务教育，促进了国民素质的提高和义务教育阶段学校均衡发展。通过问卷调查、走访调查该项目师生满意度达到91%，完成年初设定的各项绩效目标。</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（2）20</w:t>
      </w:r>
      <w:r>
        <w:rPr>
          <w:rFonts w:hint="eastAsia" w:ascii="仿宋" w:hAnsi="仿宋" w:eastAsia="仿宋" w:cs="仿宋"/>
          <w:kern w:val="2"/>
          <w:sz w:val="32"/>
          <w:szCs w:val="32"/>
          <w:lang w:val="en-US" w:eastAsia="zh-CN" w:bidi="ar"/>
        </w:rPr>
        <w:t>22年义务教育贫困非住宿生生活补助开展了绩效自评，共涉及资金0.70万元。根据年初设定的绩效目标，项目全年预算数0.70万元，执行数0.70万元，执行率为100%。该项目绩效目标完成情况如下：德惠市米沙子镇中心小学2022年贫困非寄宿学生生活补助地方配套资金发放已于2022年12月31日前全部完成，校内所有建档立卡贫困户子女接受资助比例100%，补助资金按规定及时发放率100%，达到贫困学生生均经费标准初中每生每学期250元，使适龄贫困学生正常接受教育得以保证，培养了学生乐于助人的人生观，使学生资助质量有效提高，通过问卷调查、走访调查该项目受助学生和家长满意度达到92%，完成年初设定的各项绩效目标。</w:t>
      </w:r>
    </w:p>
    <w:p>
      <w:pPr>
        <w:keepNext w:val="0"/>
        <w:keepLines w:val="0"/>
        <w:widowControl w:val="0"/>
        <w:numPr>
          <w:ilvl w:val="0"/>
          <w:numId w:val="0"/>
        </w:numPr>
        <w:suppressLineNumbers w:val="0"/>
        <w:spacing w:before="0" w:beforeAutospacing="0" w:after="0" w:afterAutospacing="0" w:line="580" w:lineRule="exact"/>
        <w:ind w:leftChars="200" w:right="0" w:rightChars="0" w:firstLine="320" w:firstLineChars="1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3、织对中小学公用经费地方配套资金等5个项目进行</w:t>
      </w:r>
    </w:p>
    <w:p>
      <w:pPr>
        <w:keepNext w:val="0"/>
        <w:keepLines w:val="0"/>
        <w:widowControl w:val="0"/>
        <w:numPr>
          <w:ilvl w:val="0"/>
          <w:numId w:val="0"/>
        </w:numPr>
        <w:suppressLineNumbers w:val="0"/>
        <w:spacing w:before="0" w:beforeAutospacing="0" w:after="0" w:afterAutospacing="0" w:line="580" w:lineRule="exact"/>
        <w:ind w:right="0" w:rightChars="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了部门评价，共涉及资金67.42万元，具体情况如下：</w:t>
      </w:r>
    </w:p>
    <w:p>
      <w:pPr>
        <w:spacing w:line="580" w:lineRule="exact"/>
        <w:ind w:firstLine="640" w:firstLineChars="200"/>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（1）</w:t>
      </w:r>
      <w:r>
        <w:rPr>
          <w:rFonts w:hint="eastAsia" w:ascii="仿宋" w:hAnsi="仿宋" w:eastAsia="仿宋" w:cs="仿宋"/>
          <w:kern w:val="2"/>
          <w:sz w:val="32"/>
          <w:szCs w:val="32"/>
          <w:lang w:val="en-US" w:eastAsia="zh-CN" w:bidi="ar"/>
        </w:rPr>
        <w:t>组织对德惠市米沙子镇中心小学2022年中小学公用经费配套资金项目开展了绩效自评，共涉及资金41.26万元，执行数为29.57万元，执行率为72.0%。主要是由于疫情原因，经费未完全支付，转入下一年度支付。经费用于义务教育学校日常公用经费支出，使学校日常运转得以保障，保证了适龄学生接受义务教育，促进了国民素质的提高和义务教育阶段学校均衡发展。通过问卷调查、走访调查该项目师生满意度达到93%，完成年初设定的各项绩效目标。执行数小于预算数的原因为，由于</w:t>
      </w:r>
      <w:r>
        <w:rPr>
          <w:rFonts w:hint="eastAsia" w:ascii="仿宋" w:hAnsi="仿宋" w:eastAsia="仿宋" w:cs="仿宋"/>
          <w:sz w:val="32"/>
          <w:szCs w:val="32"/>
        </w:rPr>
        <w:t>疫情</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学生和教师在校时间减少，办公经费等</w:t>
      </w:r>
      <w:r>
        <w:rPr>
          <w:rFonts w:hint="eastAsia" w:ascii="仿宋" w:hAnsi="仿宋" w:eastAsia="仿宋" w:cs="仿宋"/>
          <w:sz w:val="32"/>
          <w:szCs w:val="32"/>
        </w:rPr>
        <w:t>大部分经费款项未支付，待2023年支付。</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（2）</w:t>
      </w:r>
      <w:r>
        <w:rPr>
          <w:rFonts w:hint="eastAsia" w:ascii="仿宋" w:hAnsi="仿宋" w:eastAsia="仿宋" w:cs="仿宋"/>
          <w:kern w:val="2"/>
          <w:sz w:val="32"/>
          <w:szCs w:val="32"/>
          <w:lang w:val="en-US" w:eastAsia="zh-CN" w:bidi="ar"/>
        </w:rPr>
        <w:t>教育附加费项目开展了绩效自评，共涉及资金19.50万元。该笔资金用于侧面教学楼采暖改造工程，为师生提供了良好的学习环境，学校和老师满意度达到90%，完成绩效目标要求。</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lang w:val="en-US" w:eastAsia="zh-CN" w:bidi="ar"/>
        </w:rPr>
        <w:t>2022年低保及低保边缘家庭营养午餐补助资金资助项目开展了绩效自评，共涉及资金0.92万元。2022年低保及低保边缘家庭营养午餐补助经费发放已于2022年12月31日前全部完成，2022年低保及低保边缘家庭学生营养午餐补助按规定按时发放，保证了学生享有接受教育的权利，体现了教育公平，培养了学生乐于助人的人生观，使学生资助质量有效提高，通过问卷调查、走访调查该项目家长学生满意度达到85%，完成年初设定的各项绩效目标。</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lang w:val="en-US" w:eastAsia="zh-CN" w:bidi="ar"/>
        </w:rPr>
        <w:t>2022年长春市市级学生资助补助资金（幸福长春）开展了绩效自评，共涉及资金2.10万元。2022年长春市市级学生资助补助资金发放已于2022年12月31日前全部完成，校内所有建档立卡贫困户子女接受资助比例100%，补助资金按规定及时发放率100%，使适龄贫困学生正常接受教育得以保证，培养了学生乐于助人的人生观，使学生资助质量有效提高，通过问卷调查、走访调查该项目受助学生和家长满意度达到92%，完成年初设定的各项绩效目标。</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lang w:val="en-US" w:eastAsia="zh-CN" w:bidi="ar"/>
        </w:rPr>
        <w:t>幼儿园保育费开展了绩效自评，共涉及资金3.64万元。幼儿保育费使用只限用于学前教育学校日常公用经费支出，2022年12月31前完成。保证适龄学生接受学前教育，提高国民素质，促进学前教育阶段学校均衡发展。通过问卷调查、走访调查该项目教师学校满意度达到91%，完成年初设定的各项绩效目标。</w:t>
      </w:r>
    </w:p>
    <w:p>
      <w:pPr>
        <w:spacing w:line="580" w:lineRule="exact"/>
        <w:ind w:firstLine="640" w:firstLineChars="200"/>
        <w:rPr>
          <w:rFonts w:eastAsia="楷体"/>
          <w:sz w:val="32"/>
          <w:szCs w:val="32"/>
        </w:rPr>
      </w:pPr>
      <w:r>
        <w:rPr>
          <w:rFonts w:eastAsia="楷体"/>
          <w:sz w:val="32"/>
          <w:szCs w:val="32"/>
        </w:rPr>
        <w:t>（二）绩效评价结果</w:t>
      </w:r>
      <w:r>
        <w:rPr>
          <w:rFonts w:hint="eastAsia" w:eastAsia="楷体"/>
          <w:sz w:val="32"/>
          <w:szCs w:val="32"/>
        </w:rPr>
        <w:t>应用</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我单位绩效</w:t>
      </w:r>
      <w:r>
        <w:rPr>
          <w:rFonts w:hint="eastAsia" w:ascii="仿宋" w:hAnsi="仿宋" w:eastAsia="仿宋"/>
          <w:sz w:val="32"/>
          <w:szCs w:val="32"/>
        </w:rPr>
        <w:t>评价</w:t>
      </w:r>
      <w:r>
        <w:rPr>
          <w:rFonts w:ascii="仿宋" w:hAnsi="仿宋" w:eastAsia="仿宋"/>
          <w:sz w:val="32"/>
          <w:szCs w:val="32"/>
        </w:rPr>
        <w:t>结果</w:t>
      </w:r>
      <w:r>
        <w:rPr>
          <w:rFonts w:hint="eastAsia" w:ascii="仿宋" w:hAnsi="仿宋" w:eastAsia="仿宋"/>
          <w:sz w:val="32"/>
          <w:szCs w:val="32"/>
        </w:rPr>
        <w:t>应用情况</w:t>
      </w:r>
      <w:r>
        <w:rPr>
          <w:rFonts w:ascii="仿宋" w:hAnsi="仿宋" w:eastAsia="仿宋"/>
          <w:sz w:val="32"/>
          <w:szCs w:val="32"/>
        </w:rPr>
        <w:t>如下：</w:t>
      </w:r>
      <w:r>
        <w:rPr>
          <w:rFonts w:hint="eastAsia" w:ascii="仿宋" w:hAnsi="仿宋" w:eastAsia="仿宋"/>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此次绩效评价结果作为以后年度资金管理的重要依据。</w:t>
      </w:r>
    </w:p>
    <w:p>
      <w:pPr>
        <w:ind w:firstLine="640"/>
        <w:rPr>
          <w:rFonts w:hint="eastAsia" w:ascii="仿宋" w:hAnsi="仿宋" w:eastAsia="仿宋"/>
          <w:sz w:val="32"/>
        </w:rPr>
      </w:pPr>
      <w:r>
        <w:rPr>
          <w:rFonts w:hint="eastAsia" w:ascii="仿宋" w:hAnsi="仿宋" w:eastAsia="仿宋"/>
          <w:sz w:val="32"/>
        </w:rPr>
        <w:t>十一、其他重要事项的情况说明</w:t>
      </w:r>
    </w:p>
    <w:p>
      <w:pPr>
        <w:ind w:firstLine="640" w:firstLineChars="200"/>
        <w:rPr>
          <w:rFonts w:hint="eastAsia" w:ascii="仿宋" w:hAnsi="仿宋" w:eastAsia="仿宋"/>
          <w:sz w:val="32"/>
        </w:rPr>
      </w:pPr>
      <w:r>
        <w:rPr>
          <w:rFonts w:hint="eastAsia" w:ascii="仿宋" w:hAnsi="仿宋" w:eastAsia="仿宋"/>
          <w:sz w:val="32"/>
        </w:rPr>
        <w:t>（一）机关运行经费支出情况</w:t>
      </w:r>
    </w:p>
    <w:p>
      <w:pPr>
        <w:ind w:firstLine="640" w:firstLineChars="200"/>
        <w:rPr>
          <w:rFonts w:hint="eastAsia" w:ascii="仿宋" w:hAnsi="仿宋" w:eastAsia="仿宋"/>
          <w:sz w:val="32"/>
        </w:rPr>
      </w:pPr>
      <w:r>
        <w:rPr>
          <w:rFonts w:hint="eastAsia" w:ascii="仿宋" w:hAnsi="仿宋" w:eastAsia="仿宋"/>
          <w:sz w:val="32"/>
        </w:rPr>
        <w:t>本年度无机关运行经费支出</w:t>
      </w:r>
    </w:p>
    <w:p>
      <w:pPr>
        <w:rPr>
          <w:rFonts w:hint="eastAsia" w:ascii="仿宋" w:hAnsi="仿宋" w:eastAsia="仿宋"/>
          <w:sz w:val="32"/>
        </w:rPr>
      </w:pPr>
      <w:r>
        <w:rPr>
          <w:rFonts w:hint="eastAsia" w:ascii="仿宋" w:hAnsi="仿宋" w:eastAsia="仿宋"/>
          <w:sz w:val="32"/>
        </w:rPr>
        <w:t xml:space="preserve">    （二）政府采购支出情况</w:t>
      </w:r>
    </w:p>
    <w:p>
      <w:pPr>
        <w:ind w:firstLine="645"/>
        <w:rPr>
          <w:rFonts w:hint="eastAsia" w:ascii="仿宋" w:hAnsi="仿宋" w:eastAsia="仿宋"/>
          <w:sz w:val="32"/>
        </w:rPr>
      </w:pPr>
      <w:r>
        <w:rPr>
          <w:rFonts w:hint="eastAsia" w:ascii="仿宋" w:hAnsi="仿宋" w:eastAsia="仿宋"/>
          <w:sz w:val="32"/>
        </w:rPr>
        <w:t>本年度无政府采购支出情况</w:t>
      </w:r>
    </w:p>
    <w:p>
      <w:pPr>
        <w:rPr>
          <w:rFonts w:hint="eastAsia" w:ascii="仿宋" w:hAnsi="仿宋" w:eastAsia="仿宋"/>
          <w:sz w:val="32"/>
        </w:rPr>
      </w:pPr>
      <w:r>
        <w:rPr>
          <w:rFonts w:hint="eastAsia" w:ascii="仿宋" w:hAnsi="仿宋" w:eastAsia="仿宋"/>
          <w:sz w:val="32"/>
        </w:rPr>
        <w:t xml:space="preserve">    （三）国有资产占用情况</w:t>
      </w:r>
    </w:p>
    <w:p>
      <w:pPr>
        <w:ind w:firstLine="885"/>
        <w:rPr>
          <w:rFonts w:hint="eastAsia" w:ascii="仿宋" w:hAnsi="仿宋" w:eastAsia="仿宋" w:cs="仿宋_GB2312"/>
          <w:kern w:val="0"/>
          <w:sz w:val="32"/>
          <w:szCs w:val="32"/>
        </w:rPr>
      </w:pPr>
      <w:r>
        <w:rPr>
          <w:rFonts w:hint="eastAsia" w:ascii="仿宋" w:hAnsi="仿宋" w:eastAsia="仿宋"/>
          <w:sz w:val="32"/>
        </w:rPr>
        <w:t>截至202</w:t>
      </w:r>
      <w:r>
        <w:rPr>
          <w:rFonts w:hint="eastAsia" w:ascii="仿宋" w:hAnsi="仿宋" w:eastAsia="仿宋"/>
          <w:sz w:val="32"/>
          <w:lang w:val="en-US" w:eastAsia="zh-CN"/>
        </w:rPr>
        <w:t>2</w:t>
      </w:r>
      <w:r>
        <w:rPr>
          <w:rFonts w:hint="eastAsia" w:ascii="仿宋" w:hAnsi="仿宋" w:eastAsia="仿宋"/>
          <w:sz w:val="32"/>
        </w:rPr>
        <w:t>年12月31日，本单位无车辆，没有</w:t>
      </w:r>
      <w:r>
        <w:rPr>
          <w:rFonts w:hint="eastAsia" w:ascii="仿宋" w:hAnsi="仿宋" w:eastAsia="仿宋" w:cs="仿宋_GB2312"/>
          <w:kern w:val="0"/>
          <w:sz w:val="32"/>
          <w:szCs w:val="32"/>
        </w:rPr>
        <w:t>单位价值</w:t>
      </w:r>
      <w:r>
        <w:rPr>
          <w:rFonts w:ascii="仿宋" w:hAnsi="仿宋" w:eastAsia="仿宋" w:cs="仿宋_GB2312"/>
          <w:kern w:val="0"/>
          <w:sz w:val="32"/>
          <w:szCs w:val="32"/>
        </w:rPr>
        <w:t>50</w:t>
      </w:r>
      <w:r>
        <w:rPr>
          <w:rFonts w:hint="eastAsia" w:ascii="仿宋" w:hAnsi="仿宋" w:eastAsia="仿宋" w:cs="仿宋_GB2312"/>
          <w:kern w:val="0"/>
          <w:sz w:val="32"/>
          <w:szCs w:val="32"/>
        </w:rPr>
        <w:t>万元以上通用设备；没有单位价值</w:t>
      </w:r>
      <w:r>
        <w:rPr>
          <w:rFonts w:ascii="仿宋" w:hAnsi="仿宋" w:eastAsia="仿宋" w:cs="仿宋_GB2312"/>
          <w:kern w:val="0"/>
          <w:sz w:val="32"/>
          <w:szCs w:val="32"/>
        </w:rPr>
        <w:t>100</w:t>
      </w:r>
      <w:r>
        <w:rPr>
          <w:rFonts w:hint="eastAsia" w:ascii="仿宋" w:hAnsi="仿宋" w:eastAsia="仿宋" w:cs="仿宋_GB2312"/>
          <w:kern w:val="0"/>
          <w:sz w:val="32"/>
          <w:szCs w:val="32"/>
        </w:rPr>
        <w:t>万元以上专用设备。</w:t>
      </w:r>
    </w:p>
    <w:p>
      <w:pPr>
        <w:jc w:val="center"/>
        <w:rPr>
          <w:rFonts w:hint="eastAsia" w:ascii="仿宋" w:hAnsi="仿宋" w:eastAsia="仿宋"/>
          <w:sz w:val="44"/>
        </w:rPr>
      </w:pPr>
    </w:p>
    <w:p>
      <w:pPr>
        <w:jc w:val="center"/>
        <w:rPr>
          <w:rFonts w:hint="eastAsia" w:ascii="仿宋" w:hAnsi="仿宋" w:eastAsia="仿宋"/>
          <w:sz w:val="44"/>
        </w:rPr>
      </w:pPr>
    </w:p>
    <w:p>
      <w:pPr>
        <w:jc w:val="center"/>
        <w:rPr>
          <w:rFonts w:hint="eastAsia" w:ascii="仿宋" w:hAnsi="仿宋" w:eastAsia="仿宋"/>
          <w:sz w:val="44"/>
        </w:rPr>
      </w:pPr>
      <w:r>
        <w:rPr>
          <w:rFonts w:hint="eastAsia" w:ascii="仿宋" w:hAnsi="仿宋" w:eastAsia="仿宋"/>
          <w:sz w:val="44"/>
        </w:rPr>
        <w:t>第四部分  名词解释</w:t>
      </w:r>
    </w:p>
    <w:p>
      <w:pPr>
        <w:ind w:firstLine="640" w:firstLineChars="200"/>
        <w:rPr>
          <w:rFonts w:hint="eastAsia" w:ascii="仿宋" w:hAnsi="仿宋" w:eastAsia="仿宋"/>
          <w:sz w:val="32"/>
        </w:rPr>
      </w:pPr>
    </w:p>
    <w:p>
      <w:pPr>
        <w:ind w:firstLine="643" w:firstLineChars="200"/>
        <w:rPr>
          <w:rFonts w:hint="eastAsia"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pPr>
        <w:ind w:firstLine="643" w:firstLineChars="200"/>
        <w:rPr>
          <w:rFonts w:hint="eastAsia" w:ascii="仿宋" w:hAnsi="仿宋" w:eastAsia="仿宋"/>
          <w:sz w:val="32"/>
        </w:rPr>
      </w:pPr>
      <w:r>
        <w:rPr>
          <w:rFonts w:hint="eastAsia" w:ascii="仿宋" w:hAnsi="仿宋" w:eastAsia="仿宋"/>
          <w:b/>
          <w:bCs/>
          <w:sz w:val="32"/>
        </w:rPr>
        <w:t>二、上级补助收入：</w:t>
      </w:r>
      <w:r>
        <w:rPr>
          <w:rFonts w:hint="eastAsia" w:ascii="仿宋" w:hAnsi="仿宋" w:eastAsia="仿宋"/>
          <w:sz w:val="32"/>
        </w:rPr>
        <w:t>指从主管部门和上级单位取得的非财政补助收入。如***单位的****收入</w:t>
      </w:r>
      <w:r>
        <w:rPr>
          <w:rFonts w:hint="eastAsia" w:ascii="仿宋" w:hAnsi="仿宋" w:eastAsia="仿宋"/>
          <w:sz w:val="32"/>
          <w:szCs w:val="30"/>
        </w:rPr>
        <w:t>。</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三、事业收入：</w:t>
      </w:r>
      <w:r>
        <w:rPr>
          <w:rFonts w:hint="eastAsia" w:ascii="仿宋" w:hAnsi="仿宋" w:eastAsia="仿宋"/>
          <w:sz w:val="32"/>
        </w:rPr>
        <w:t>指事业单位开展专业业务活动及辅助活动取得的收入。如***单位的****收入</w:t>
      </w:r>
      <w:r>
        <w:rPr>
          <w:rFonts w:hint="eastAsia" w:ascii="仿宋" w:hAnsi="仿宋" w:eastAsia="仿宋"/>
          <w:sz w:val="32"/>
          <w:szCs w:val="30"/>
        </w:rPr>
        <w:t>。</w:t>
      </w:r>
    </w:p>
    <w:p>
      <w:pPr>
        <w:autoSpaceDN w:val="0"/>
        <w:spacing w:line="360" w:lineRule="auto"/>
        <w:ind w:firstLine="643" w:firstLineChars="200"/>
        <w:rPr>
          <w:rFonts w:hint="eastAsia" w:ascii="仿宋" w:hAnsi="仿宋" w:eastAsia="仿宋"/>
          <w:sz w:val="32"/>
          <w:szCs w:val="30"/>
        </w:rPr>
      </w:pPr>
      <w:r>
        <w:rPr>
          <w:rFonts w:hint="eastAsia" w:ascii="仿宋" w:hAnsi="仿宋" w:eastAsia="仿宋"/>
          <w:b/>
          <w:bCs/>
          <w:sz w:val="32"/>
        </w:rPr>
        <w:t>四、经营收入：</w:t>
      </w:r>
      <w:r>
        <w:rPr>
          <w:rFonts w:hint="eastAsia" w:ascii="仿宋" w:hAnsi="仿宋" w:eastAsia="仿宋"/>
          <w:sz w:val="32"/>
        </w:rPr>
        <w:t>指事业单位在专业业务活动及其辅助活动之外开展非独立核算经营活动取得的收入。如***单位的****收入</w:t>
      </w:r>
      <w:r>
        <w:rPr>
          <w:rFonts w:hint="eastAsia" w:ascii="仿宋" w:hAnsi="仿宋" w:eastAsia="仿宋"/>
          <w:sz w:val="32"/>
          <w:szCs w:val="30"/>
        </w:rPr>
        <w:t>。</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五、附属单位上缴收入：</w:t>
      </w:r>
      <w:r>
        <w:rPr>
          <w:rFonts w:hint="eastAsia" w:ascii="仿宋" w:hAnsi="仿宋" w:eastAsia="仿宋"/>
          <w:sz w:val="32"/>
        </w:rPr>
        <w:t>指事业单位附属独立核算单位按照有关规定上缴的收入。如***单位上缴的****收入。</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六、其他收入：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只保留部门已发生的收入明细，未发生的收入明细删掉）</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七、使用非财政</w:t>
      </w:r>
      <w:r>
        <w:rPr>
          <w:rFonts w:ascii="仿宋" w:hAnsi="仿宋" w:eastAsia="仿宋"/>
          <w:b/>
          <w:bCs/>
          <w:sz w:val="32"/>
        </w:rPr>
        <w:t>拨款结余：</w:t>
      </w:r>
      <w:r>
        <w:rPr>
          <w:rFonts w:hint="eastAsia" w:ascii="仿宋" w:hAnsi="仿宋" w:eastAsia="仿宋"/>
          <w:sz w:val="32"/>
        </w:rPr>
        <w:t>指事业单位使用以前</w:t>
      </w:r>
      <w:r>
        <w:rPr>
          <w:rFonts w:ascii="仿宋" w:hAnsi="仿宋" w:eastAsia="仿宋"/>
          <w:sz w:val="32"/>
        </w:rPr>
        <w:t>年度积累的非财政拨款结余弥补当年收支差额的金额。</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八、</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九、</w:t>
      </w:r>
      <w:r>
        <w:rPr>
          <w:rFonts w:ascii="仿宋" w:hAnsi="仿宋" w:eastAsia="仿宋"/>
          <w:b/>
          <w:bCs/>
          <w:sz w:val="32"/>
        </w:rPr>
        <w:t>结余分配：</w:t>
      </w:r>
      <w:r>
        <w:rPr>
          <w:rFonts w:hint="eastAsia" w:ascii="仿宋" w:hAnsi="仿宋" w:eastAsia="仿宋"/>
          <w:sz w:val="32"/>
        </w:rPr>
        <w:t>指事业单位按照会计制度规定缴纳的所得税以及从非财政补助结余提取的职工福利基金、事业基金等。</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十、</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十一、</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十二、</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十三、</w:t>
      </w:r>
      <w:r>
        <w:rPr>
          <w:rFonts w:ascii="仿宋" w:hAnsi="仿宋" w:eastAsia="仿宋"/>
          <w:b/>
          <w:bCs/>
          <w:sz w:val="32"/>
        </w:rPr>
        <w:t>经营支出：</w:t>
      </w:r>
      <w:r>
        <w:rPr>
          <w:rFonts w:hint="eastAsia" w:ascii="仿宋" w:hAnsi="仿宋" w:eastAsia="仿宋"/>
          <w:sz w:val="32"/>
        </w:rPr>
        <w:t>指</w:t>
      </w:r>
      <w:r>
        <w:rPr>
          <w:rFonts w:ascii="仿宋" w:hAnsi="仿宋" w:eastAsia="仿宋"/>
          <w:sz w:val="32"/>
        </w:rPr>
        <w:t>事业单位在专业</w:t>
      </w:r>
      <w:r>
        <w:rPr>
          <w:rFonts w:hint="eastAsia" w:ascii="仿宋" w:hAnsi="仿宋" w:eastAsia="仿宋"/>
          <w:sz w:val="32"/>
        </w:rPr>
        <w:t>业务</w:t>
      </w:r>
      <w:r>
        <w:rPr>
          <w:rFonts w:ascii="仿宋" w:hAnsi="仿宋" w:eastAsia="仿宋"/>
          <w:sz w:val="32"/>
        </w:rPr>
        <w:t>活动及</w:t>
      </w:r>
      <w:r>
        <w:rPr>
          <w:rFonts w:hint="eastAsia" w:ascii="仿宋" w:hAnsi="仿宋" w:eastAsia="仿宋"/>
          <w:sz w:val="32"/>
        </w:rPr>
        <w:t>其</w:t>
      </w:r>
      <w:r>
        <w:rPr>
          <w:rFonts w:ascii="仿宋" w:hAnsi="仿宋" w:eastAsia="仿宋"/>
          <w:sz w:val="32"/>
        </w:rPr>
        <w:t>辅助活动之外开展非独立核算经营活动发生的支出。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十四、</w:t>
      </w:r>
      <w:r>
        <w:rPr>
          <w:rFonts w:ascii="仿宋" w:hAnsi="仿宋" w:eastAsia="仿宋"/>
          <w:b/>
          <w:bCs/>
          <w:sz w:val="32"/>
        </w:rPr>
        <w:t>上缴上级支出：</w:t>
      </w:r>
      <w:r>
        <w:rPr>
          <w:rFonts w:hint="eastAsia" w:ascii="仿宋" w:hAnsi="仿宋" w:eastAsia="仿宋"/>
          <w:sz w:val="32"/>
        </w:rPr>
        <w:t>指事业单位</w:t>
      </w:r>
      <w:r>
        <w:rPr>
          <w:rFonts w:ascii="仿宋" w:hAnsi="仿宋" w:eastAsia="仿宋"/>
          <w:sz w:val="32"/>
        </w:rPr>
        <w:t>按照</w:t>
      </w:r>
      <w:r>
        <w:rPr>
          <w:rFonts w:hint="eastAsia" w:ascii="仿宋" w:hAnsi="仿宋" w:eastAsia="仿宋"/>
          <w:sz w:val="32"/>
        </w:rPr>
        <w:t>有关</w:t>
      </w:r>
      <w:r>
        <w:rPr>
          <w:rFonts w:ascii="仿宋" w:hAnsi="仿宋" w:eastAsia="仿宋"/>
          <w:sz w:val="32"/>
        </w:rPr>
        <w:t>规定上缴上级单位的支出。</w:t>
      </w:r>
      <w:r>
        <w:rPr>
          <w:rFonts w:hint="eastAsia" w:ascii="仿宋" w:hAnsi="仿宋" w:eastAsia="仿宋"/>
          <w:sz w:val="32"/>
        </w:rPr>
        <w:t>主要是*****（单位名称）上缴给****（单位名称）的****（资金名称）资金。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十五、</w:t>
      </w:r>
      <w:r>
        <w:rPr>
          <w:rFonts w:ascii="仿宋" w:hAnsi="仿宋" w:eastAsia="仿宋"/>
          <w:b/>
          <w:bCs/>
          <w:sz w:val="32"/>
        </w:rPr>
        <w:t>对附属单位补助支出：</w:t>
      </w:r>
      <w:r>
        <w:rPr>
          <w:rFonts w:hint="eastAsia" w:ascii="仿宋" w:hAnsi="仿宋" w:eastAsia="仿宋"/>
          <w:sz w:val="32"/>
        </w:rPr>
        <w:t>指</w:t>
      </w:r>
      <w:r>
        <w:rPr>
          <w:rFonts w:ascii="仿宋" w:hAnsi="仿宋" w:eastAsia="仿宋"/>
          <w:sz w:val="32"/>
        </w:rPr>
        <w:t>事业单位用财政补助收入之外的收入对附属单位补助发生的支出。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十六、“三公”经费：</w:t>
      </w:r>
      <w:r>
        <w:rPr>
          <w:rFonts w:hint="eastAsia" w:ascii="仿宋" w:hAnsi="仿宋" w:eastAsia="仿宋"/>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十七、机关运行经费：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18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FCE2F"/>
    <w:multiLevelType w:val="singleLevel"/>
    <w:tmpl w:val="9C7FCE2F"/>
    <w:lvl w:ilvl="0" w:tentative="0">
      <w:start w:val="5"/>
      <w:numFmt w:val="chineseCounting"/>
      <w:suff w:val="nothing"/>
      <w:lvlText w:val="%1、"/>
      <w:lvlJc w:val="left"/>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DdmYjg4ODY3OWRlMDM4YzI4YmQ1OGI0YzhkYjkifQ=="/>
  </w:docVars>
  <w:rsids>
    <w:rsidRoot w:val="00172A27"/>
    <w:rsid w:val="0003327A"/>
    <w:rsid w:val="0004549D"/>
    <w:rsid w:val="00047CE0"/>
    <w:rsid w:val="0006372F"/>
    <w:rsid w:val="00077103"/>
    <w:rsid w:val="0008356C"/>
    <w:rsid w:val="000B328C"/>
    <w:rsid w:val="000C03D5"/>
    <w:rsid w:val="000C21F2"/>
    <w:rsid w:val="000D4CF2"/>
    <w:rsid w:val="000D757E"/>
    <w:rsid w:val="0011688D"/>
    <w:rsid w:val="00117E36"/>
    <w:rsid w:val="001226CF"/>
    <w:rsid w:val="001264B5"/>
    <w:rsid w:val="00140A6B"/>
    <w:rsid w:val="00144697"/>
    <w:rsid w:val="00151432"/>
    <w:rsid w:val="00157828"/>
    <w:rsid w:val="001635CE"/>
    <w:rsid w:val="001A0649"/>
    <w:rsid w:val="001B0926"/>
    <w:rsid w:val="001B144F"/>
    <w:rsid w:val="001C4B44"/>
    <w:rsid w:val="002022DE"/>
    <w:rsid w:val="002264A4"/>
    <w:rsid w:val="002C2730"/>
    <w:rsid w:val="002E7A9A"/>
    <w:rsid w:val="00303A54"/>
    <w:rsid w:val="00305FC6"/>
    <w:rsid w:val="003278D8"/>
    <w:rsid w:val="003405DB"/>
    <w:rsid w:val="003425BC"/>
    <w:rsid w:val="0038572D"/>
    <w:rsid w:val="003A39C7"/>
    <w:rsid w:val="003C2237"/>
    <w:rsid w:val="003C2728"/>
    <w:rsid w:val="003E509A"/>
    <w:rsid w:val="00445D02"/>
    <w:rsid w:val="004477D7"/>
    <w:rsid w:val="0045724A"/>
    <w:rsid w:val="004922D3"/>
    <w:rsid w:val="004B3C1F"/>
    <w:rsid w:val="004C1D40"/>
    <w:rsid w:val="004E1B38"/>
    <w:rsid w:val="00502032"/>
    <w:rsid w:val="00505022"/>
    <w:rsid w:val="00552D11"/>
    <w:rsid w:val="00587513"/>
    <w:rsid w:val="00593840"/>
    <w:rsid w:val="005A7848"/>
    <w:rsid w:val="005C3EFC"/>
    <w:rsid w:val="005C6473"/>
    <w:rsid w:val="005D420A"/>
    <w:rsid w:val="005E131A"/>
    <w:rsid w:val="00613C24"/>
    <w:rsid w:val="00633860"/>
    <w:rsid w:val="006401B4"/>
    <w:rsid w:val="00652E45"/>
    <w:rsid w:val="00671591"/>
    <w:rsid w:val="00682CD9"/>
    <w:rsid w:val="00683BEC"/>
    <w:rsid w:val="00687F93"/>
    <w:rsid w:val="006951EE"/>
    <w:rsid w:val="006A729C"/>
    <w:rsid w:val="006D4085"/>
    <w:rsid w:val="007041F5"/>
    <w:rsid w:val="007376D0"/>
    <w:rsid w:val="00747CD1"/>
    <w:rsid w:val="00750112"/>
    <w:rsid w:val="007553B2"/>
    <w:rsid w:val="007826B8"/>
    <w:rsid w:val="00786916"/>
    <w:rsid w:val="007A7776"/>
    <w:rsid w:val="007C37FF"/>
    <w:rsid w:val="007C4AB8"/>
    <w:rsid w:val="00803989"/>
    <w:rsid w:val="00804332"/>
    <w:rsid w:val="00810078"/>
    <w:rsid w:val="00814FD0"/>
    <w:rsid w:val="00846256"/>
    <w:rsid w:val="0085070B"/>
    <w:rsid w:val="00867F10"/>
    <w:rsid w:val="00870AE1"/>
    <w:rsid w:val="008C4FC2"/>
    <w:rsid w:val="0090403A"/>
    <w:rsid w:val="00915519"/>
    <w:rsid w:val="00920A16"/>
    <w:rsid w:val="0092302E"/>
    <w:rsid w:val="00931C2B"/>
    <w:rsid w:val="00936F17"/>
    <w:rsid w:val="009519C2"/>
    <w:rsid w:val="0099060F"/>
    <w:rsid w:val="00A272A2"/>
    <w:rsid w:val="00A40A7B"/>
    <w:rsid w:val="00A53409"/>
    <w:rsid w:val="00A816B1"/>
    <w:rsid w:val="00A943EC"/>
    <w:rsid w:val="00AA4948"/>
    <w:rsid w:val="00AB0A7A"/>
    <w:rsid w:val="00AB5C2B"/>
    <w:rsid w:val="00AC4905"/>
    <w:rsid w:val="00AD39D9"/>
    <w:rsid w:val="00AD5EE9"/>
    <w:rsid w:val="00B131A9"/>
    <w:rsid w:val="00B453C4"/>
    <w:rsid w:val="00B55436"/>
    <w:rsid w:val="00B77953"/>
    <w:rsid w:val="00BE2F51"/>
    <w:rsid w:val="00C05D3E"/>
    <w:rsid w:val="00C21D4C"/>
    <w:rsid w:val="00C95845"/>
    <w:rsid w:val="00CA0906"/>
    <w:rsid w:val="00CB6AF0"/>
    <w:rsid w:val="00CC24B1"/>
    <w:rsid w:val="00CD5A08"/>
    <w:rsid w:val="00D21B92"/>
    <w:rsid w:val="00D307DD"/>
    <w:rsid w:val="00D56EEF"/>
    <w:rsid w:val="00D65B9D"/>
    <w:rsid w:val="00D71A73"/>
    <w:rsid w:val="00D86406"/>
    <w:rsid w:val="00D94D7D"/>
    <w:rsid w:val="00DA0EF4"/>
    <w:rsid w:val="00DD0315"/>
    <w:rsid w:val="00DE37B1"/>
    <w:rsid w:val="00E002F7"/>
    <w:rsid w:val="00E004C9"/>
    <w:rsid w:val="00E31020"/>
    <w:rsid w:val="00E4602A"/>
    <w:rsid w:val="00E57F91"/>
    <w:rsid w:val="00E6459D"/>
    <w:rsid w:val="00E67C51"/>
    <w:rsid w:val="00EA6FB0"/>
    <w:rsid w:val="00EB293D"/>
    <w:rsid w:val="00ED0C42"/>
    <w:rsid w:val="00EF3AF1"/>
    <w:rsid w:val="00F036BB"/>
    <w:rsid w:val="00F14E68"/>
    <w:rsid w:val="00F17C25"/>
    <w:rsid w:val="00F4669D"/>
    <w:rsid w:val="00F6416E"/>
    <w:rsid w:val="00FF644D"/>
    <w:rsid w:val="01291CF3"/>
    <w:rsid w:val="013836B1"/>
    <w:rsid w:val="01AD7280"/>
    <w:rsid w:val="01C17C29"/>
    <w:rsid w:val="01D25F7D"/>
    <w:rsid w:val="02631927"/>
    <w:rsid w:val="02935584"/>
    <w:rsid w:val="039950F2"/>
    <w:rsid w:val="03AF0195"/>
    <w:rsid w:val="03EB5A73"/>
    <w:rsid w:val="045B3430"/>
    <w:rsid w:val="04706FFA"/>
    <w:rsid w:val="050474A7"/>
    <w:rsid w:val="051B5087"/>
    <w:rsid w:val="052D7500"/>
    <w:rsid w:val="056D7D0D"/>
    <w:rsid w:val="06BA67ED"/>
    <w:rsid w:val="0744651C"/>
    <w:rsid w:val="078D0265"/>
    <w:rsid w:val="07BA0FF2"/>
    <w:rsid w:val="07BD626A"/>
    <w:rsid w:val="07D74041"/>
    <w:rsid w:val="08461F91"/>
    <w:rsid w:val="08E14DC5"/>
    <w:rsid w:val="099D2019"/>
    <w:rsid w:val="09AF74A8"/>
    <w:rsid w:val="09ED7D19"/>
    <w:rsid w:val="09FC0338"/>
    <w:rsid w:val="0AD07F9A"/>
    <w:rsid w:val="0B204BAA"/>
    <w:rsid w:val="0B365A8D"/>
    <w:rsid w:val="0B4C5D40"/>
    <w:rsid w:val="0C455F50"/>
    <w:rsid w:val="0C48384D"/>
    <w:rsid w:val="0C547201"/>
    <w:rsid w:val="0DA93E4C"/>
    <w:rsid w:val="0E82019F"/>
    <w:rsid w:val="0E913F8C"/>
    <w:rsid w:val="0EC042D8"/>
    <w:rsid w:val="0EFA5D2F"/>
    <w:rsid w:val="0F916077"/>
    <w:rsid w:val="0FD54E0B"/>
    <w:rsid w:val="0FFF7484"/>
    <w:rsid w:val="10057FFD"/>
    <w:rsid w:val="101F18D4"/>
    <w:rsid w:val="103E7FAD"/>
    <w:rsid w:val="10C74779"/>
    <w:rsid w:val="10DE2F25"/>
    <w:rsid w:val="115F0793"/>
    <w:rsid w:val="11E8486E"/>
    <w:rsid w:val="12277E38"/>
    <w:rsid w:val="12503FC7"/>
    <w:rsid w:val="12723B3F"/>
    <w:rsid w:val="12A612BB"/>
    <w:rsid w:val="12B83979"/>
    <w:rsid w:val="12CE5DDA"/>
    <w:rsid w:val="13281E39"/>
    <w:rsid w:val="13E87B5A"/>
    <w:rsid w:val="14424B64"/>
    <w:rsid w:val="1451667D"/>
    <w:rsid w:val="149A7217"/>
    <w:rsid w:val="14DD612A"/>
    <w:rsid w:val="15793835"/>
    <w:rsid w:val="15AC2610"/>
    <w:rsid w:val="15BF49EB"/>
    <w:rsid w:val="15C422A6"/>
    <w:rsid w:val="15E45152"/>
    <w:rsid w:val="161D0664"/>
    <w:rsid w:val="16215284"/>
    <w:rsid w:val="16BA16A6"/>
    <w:rsid w:val="176C5CA1"/>
    <w:rsid w:val="17A9728B"/>
    <w:rsid w:val="17B3432A"/>
    <w:rsid w:val="18BD2904"/>
    <w:rsid w:val="18D2447F"/>
    <w:rsid w:val="18DD2B55"/>
    <w:rsid w:val="190350A8"/>
    <w:rsid w:val="19503578"/>
    <w:rsid w:val="19FB6DA2"/>
    <w:rsid w:val="1A011720"/>
    <w:rsid w:val="1A3056D8"/>
    <w:rsid w:val="1A69031C"/>
    <w:rsid w:val="1AB5530F"/>
    <w:rsid w:val="1ABD4924"/>
    <w:rsid w:val="1B4C26D6"/>
    <w:rsid w:val="1B6A01A5"/>
    <w:rsid w:val="1B704521"/>
    <w:rsid w:val="1BBD09F3"/>
    <w:rsid w:val="1BF264AC"/>
    <w:rsid w:val="1C811E8C"/>
    <w:rsid w:val="1C833AB3"/>
    <w:rsid w:val="1CE741A3"/>
    <w:rsid w:val="1CF35D0C"/>
    <w:rsid w:val="1D5B5A38"/>
    <w:rsid w:val="1D8F1C13"/>
    <w:rsid w:val="1DCC0726"/>
    <w:rsid w:val="1DF24545"/>
    <w:rsid w:val="1E1160FD"/>
    <w:rsid w:val="1E9D4136"/>
    <w:rsid w:val="1EA81C47"/>
    <w:rsid w:val="1EB43A3C"/>
    <w:rsid w:val="1ED7600F"/>
    <w:rsid w:val="1F4D411B"/>
    <w:rsid w:val="1F7A571D"/>
    <w:rsid w:val="1FFD7F00"/>
    <w:rsid w:val="208A259E"/>
    <w:rsid w:val="21612E75"/>
    <w:rsid w:val="216E09DF"/>
    <w:rsid w:val="21786EFC"/>
    <w:rsid w:val="220B1CB9"/>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27A6D"/>
    <w:rsid w:val="25390094"/>
    <w:rsid w:val="254C4636"/>
    <w:rsid w:val="25CE0C18"/>
    <w:rsid w:val="267C3C0F"/>
    <w:rsid w:val="26CA1E67"/>
    <w:rsid w:val="26D9681D"/>
    <w:rsid w:val="271F1833"/>
    <w:rsid w:val="27615C36"/>
    <w:rsid w:val="276A0F6E"/>
    <w:rsid w:val="27F60471"/>
    <w:rsid w:val="284952E9"/>
    <w:rsid w:val="286F7557"/>
    <w:rsid w:val="28CB487D"/>
    <w:rsid w:val="29A34F43"/>
    <w:rsid w:val="29B215CF"/>
    <w:rsid w:val="2A046C55"/>
    <w:rsid w:val="2A345118"/>
    <w:rsid w:val="2A6A1929"/>
    <w:rsid w:val="2B0C5E72"/>
    <w:rsid w:val="2B4F17D3"/>
    <w:rsid w:val="2B687DF3"/>
    <w:rsid w:val="2B8F5708"/>
    <w:rsid w:val="2BD56AA4"/>
    <w:rsid w:val="2BFC3A9D"/>
    <w:rsid w:val="2C740706"/>
    <w:rsid w:val="2C933EA5"/>
    <w:rsid w:val="2CA27B50"/>
    <w:rsid w:val="2CAA0F45"/>
    <w:rsid w:val="2CD54307"/>
    <w:rsid w:val="2CF649E8"/>
    <w:rsid w:val="2D140094"/>
    <w:rsid w:val="2D376497"/>
    <w:rsid w:val="2E3A1976"/>
    <w:rsid w:val="2E4733B9"/>
    <w:rsid w:val="2E663CE3"/>
    <w:rsid w:val="2E8E4319"/>
    <w:rsid w:val="2E973096"/>
    <w:rsid w:val="2E9C15FE"/>
    <w:rsid w:val="2FA9194B"/>
    <w:rsid w:val="2FDC43A0"/>
    <w:rsid w:val="2FE41633"/>
    <w:rsid w:val="2FF16D2E"/>
    <w:rsid w:val="303B6D52"/>
    <w:rsid w:val="30404DA3"/>
    <w:rsid w:val="30811E37"/>
    <w:rsid w:val="311B2DB5"/>
    <w:rsid w:val="31200E48"/>
    <w:rsid w:val="312F40AC"/>
    <w:rsid w:val="31696AB3"/>
    <w:rsid w:val="319121DA"/>
    <w:rsid w:val="3212787A"/>
    <w:rsid w:val="32342B66"/>
    <w:rsid w:val="32834990"/>
    <w:rsid w:val="333E5CF6"/>
    <w:rsid w:val="33977131"/>
    <w:rsid w:val="33CE6DF1"/>
    <w:rsid w:val="33D2753F"/>
    <w:rsid w:val="33D5291B"/>
    <w:rsid w:val="34A343A7"/>
    <w:rsid w:val="34B67240"/>
    <w:rsid w:val="34BC093C"/>
    <w:rsid w:val="34DE5E1D"/>
    <w:rsid w:val="34ED4416"/>
    <w:rsid w:val="35720CEF"/>
    <w:rsid w:val="35A61CEB"/>
    <w:rsid w:val="360B58E8"/>
    <w:rsid w:val="36167870"/>
    <w:rsid w:val="36447551"/>
    <w:rsid w:val="368A773C"/>
    <w:rsid w:val="36B47E29"/>
    <w:rsid w:val="36EE7B2A"/>
    <w:rsid w:val="36F0710E"/>
    <w:rsid w:val="37D6666A"/>
    <w:rsid w:val="38D416BA"/>
    <w:rsid w:val="38F74948"/>
    <w:rsid w:val="3922614F"/>
    <w:rsid w:val="395E7574"/>
    <w:rsid w:val="39602492"/>
    <w:rsid w:val="39663F4D"/>
    <w:rsid w:val="3A201838"/>
    <w:rsid w:val="3A207555"/>
    <w:rsid w:val="3ABA6DAF"/>
    <w:rsid w:val="3AEC222F"/>
    <w:rsid w:val="3B007FD0"/>
    <w:rsid w:val="3B60095D"/>
    <w:rsid w:val="3B824694"/>
    <w:rsid w:val="3B8C57C0"/>
    <w:rsid w:val="3BAA4295"/>
    <w:rsid w:val="3BF86E47"/>
    <w:rsid w:val="3C1C2D73"/>
    <w:rsid w:val="3C5926B5"/>
    <w:rsid w:val="3CB726F6"/>
    <w:rsid w:val="3CBA7FA6"/>
    <w:rsid w:val="3D257AE9"/>
    <w:rsid w:val="3D4D1962"/>
    <w:rsid w:val="3D561BE0"/>
    <w:rsid w:val="3DD60F75"/>
    <w:rsid w:val="3EAB28E4"/>
    <w:rsid w:val="3EBF597A"/>
    <w:rsid w:val="3F7C64D5"/>
    <w:rsid w:val="3F847C6B"/>
    <w:rsid w:val="3F8A54A4"/>
    <w:rsid w:val="3F923D70"/>
    <w:rsid w:val="3FFA71C8"/>
    <w:rsid w:val="401063C5"/>
    <w:rsid w:val="401F5D22"/>
    <w:rsid w:val="404207E8"/>
    <w:rsid w:val="4057425D"/>
    <w:rsid w:val="4080075D"/>
    <w:rsid w:val="40B71CA9"/>
    <w:rsid w:val="416044FF"/>
    <w:rsid w:val="417267DD"/>
    <w:rsid w:val="417B60BB"/>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5112019"/>
    <w:rsid w:val="46125131"/>
    <w:rsid w:val="46952593"/>
    <w:rsid w:val="46D949EB"/>
    <w:rsid w:val="46F04DCB"/>
    <w:rsid w:val="47374232"/>
    <w:rsid w:val="473D6566"/>
    <w:rsid w:val="475F4668"/>
    <w:rsid w:val="47E07977"/>
    <w:rsid w:val="484B52B5"/>
    <w:rsid w:val="48626CF9"/>
    <w:rsid w:val="48700F9E"/>
    <w:rsid w:val="487A58C4"/>
    <w:rsid w:val="48951DA6"/>
    <w:rsid w:val="494B0EBA"/>
    <w:rsid w:val="495F4397"/>
    <w:rsid w:val="4A432D80"/>
    <w:rsid w:val="4A843BAC"/>
    <w:rsid w:val="4AF84FA0"/>
    <w:rsid w:val="4AFC450A"/>
    <w:rsid w:val="4B402EB3"/>
    <w:rsid w:val="4B6A1F48"/>
    <w:rsid w:val="4B8240C1"/>
    <w:rsid w:val="4BCC7805"/>
    <w:rsid w:val="4BEE199F"/>
    <w:rsid w:val="4BF042B3"/>
    <w:rsid w:val="4C2A14E6"/>
    <w:rsid w:val="4C3837E9"/>
    <w:rsid w:val="4C4D6C9D"/>
    <w:rsid w:val="4C794F4D"/>
    <w:rsid w:val="4C835077"/>
    <w:rsid w:val="4C855B9F"/>
    <w:rsid w:val="4C8757CA"/>
    <w:rsid w:val="4CF54679"/>
    <w:rsid w:val="4D0E758C"/>
    <w:rsid w:val="4D1E7CA7"/>
    <w:rsid w:val="4D38183D"/>
    <w:rsid w:val="4D661F7C"/>
    <w:rsid w:val="4D7321F1"/>
    <w:rsid w:val="4D90277D"/>
    <w:rsid w:val="4D967D9A"/>
    <w:rsid w:val="4DAE4B36"/>
    <w:rsid w:val="4DCF0D74"/>
    <w:rsid w:val="4DE90850"/>
    <w:rsid w:val="4DED1B7E"/>
    <w:rsid w:val="4DEF6D1B"/>
    <w:rsid w:val="4E375881"/>
    <w:rsid w:val="4E945B07"/>
    <w:rsid w:val="4F146407"/>
    <w:rsid w:val="4F275AD4"/>
    <w:rsid w:val="4F4F0196"/>
    <w:rsid w:val="4F7030A6"/>
    <w:rsid w:val="50A31D1F"/>
    <w:rsid w:val="50C44111"/>
    <w:rsid w:val="50CA3EFF"/>
    <w:rsid w:val="50D90943"/>
    <w:rsid w:val="51595B90"/>
    <w:rsid w:val="51A72EFC"/>
    <w:rsid w:val="523429E2"/>
    <w:rsid w:val="524B622E"/>
    <w:rsid w:val="525C2AAA"/>
    <w:rsid w:val="527F60E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1277DF"/>
    <w:rsid w:val="573C1FDD"/>
    <w:rsid w:val="5838665C"/>
    <w:rsid w:val="58AC562C"/>
    <w:rsid w:val="58AF1FE4"/>
    <w:rsid w:val="58C3686E"/>
    <w:rsid w:val="5919472F"/>
    <w:rsid w:val="594B2916"/>
    <w:rsid w:val="59815634"/>
    <w:rsid w:val="598C5E68"/>
    <w:rsid w:val="59B913DD"/>
    <w:rsid w:val="59C15939"/>
    <w:rsid w:val="59E34416"/>
    <w:rsid w:val="59FB3DE5"/>
    <w:rsid w:val="5A8F7B66"/>
    <w:rsid w:val="5A985374"/>
    <w:rsid w:val="5AC84640"/>
    <w:rsid w:val="5B133935"/>
    <w:rsid w:val="5B594BDF"/>
    <w:rsid w:val="5B67293C"/>
    <w:rsid w:val="5BC1770A"/>
    <w:rsid w:val="5BD52F4B"/>
    <w:rsid w:val="5C1E1D99"/>
    <w:rsid w:val="5C48142B"/>
    <w:rsid w:val="5C5E0E8C"/>
    <w:rsid w:val="5C7165E1"/>
    <w:rsid w:val="5C824D18"/>
    <w:rsid w:val="5CF03C4B"/>
    <w:rsid w:val="5DBF1EE1"/>
    <w:rsid w:val="5DCB486F"/>
    <w:rsid w:val="5DE51A21"/>
    <w:rsid w:val="5E5A6C63"/>
    <w:rsid w:val="5EA2502E"/>
    <w:rsid w:val="5EB027A5"/>
    <w:rsid w:val="5ECE5F09"/>
    <w:rsid w:val="5EF3424E"/>
    <w:rsid w:val="5EF65BE6"/>
    <w:rsid w:val="5F520416"/>
    <w:rsid w:val="5F552231"/>
    <w:rsid w:val="5F636D4B"/>
    <w:rsid w:val="5FF75A67"/>
    <w:rsid w:val="609A0319"/>
    <w:rsid w:val="609B7413"/>
    <w:rsid w:val="60A43501"/>
    <w:rsid w:val="60EB57EC"/>
    <w:rsid w:val="60EC6236"/>
    <w:rsid w:val="610E4EF3"/>
    <w:rsid w:val="61342421"/>
    <w:rsid w:val="619B4865"/>
    <w:rsid w:val="62090418"/>
    <w:rsid w:val="623931DF"/>
    <w:rsid w:val="62803AAB"/>
    <w:rsid w:val="62FA2958"/>
    <w:rsid w:val="63647DB9"/>
    <w:rsid w:val="63790395"/>
    <w:rsid w:val="637C576C"/>
    <w:rsid w:val="639A23F6"/>
    <w:rsid w:val="63BC5735"/>
    <w:rsid w:val="63EE0517"/>
    <w:rsid w:val="640259CE"/>
    <w:rsid w:val="641A755E"/>
    <w:rsid w:val="642D57E6"/>
    <w:rsid w:val="64617F46"/>
    <w:rsid w:val="650D59E9"/>
    <w:rsid w:val="65362C76"/>
    <w:rsid w:val="65F94CB9"/>
    <w:rsid w:val="65FA44F2"/>
    <w:rsid w:val="661A28ED"/>
    <w:rsid w:val="66215D1D"/>
    <w:rsid w:val="66326DE1"/>
    <w:rsid w:val="675454F2"/>
    <w:rsid w:val="67982F96"/>
    <w:rsid w:val="67B71265"/>
    <w:rsid w:val="67CA0752"/>
    <w:rsid w:val="67EF73DD"/>
    <w:rsid w:val="688A2E32"/>
    <w:rsid w:val="698104AC"/>
    <w:rsid w:val="6993314E"/>
    <w:rsid w:val="69F720E4"/>
    <w:rsid w:val="6A4204C9"/>
    <w:rsid w:val="6A442FBD"/>
    <w:rsid w:val="6AE30D66"/>
    <w:rsid w:val="6BE9361A"/>
    <w:rsid w:val="6BFF74D5"/>
    <w:rsid w:val="6C101972"/>
    <w:rsid w:val="6C252800"/>
    <w:rsid w:val="6CC84C24"/>
    <w:rsid w:val="6D31535F"/>
    <w:rsid w:val="6D42284E"/>
    <w:rsid w:val="6D430F7C"/>
    <w:rsid w:val="6D524684"/>
    <w:rsid w:val="6D5C067E"/>
    <w:rsid w:val="6D8C1501"/>
    <w:rsid w:val="6DD54C21"/>
    <w:rsid w:val="6E2F0A19"/>
    <w:rsid w:val="6E3E660A"/>
    <w:rsid w:val="6E5D1A99"/>
    <w:rsid w:val="6E5F0718"/>
    <w:rsid w:val="6F7B7AD6"/>
    <w:rsid w:val="6F92352B"/>
    <w:rsid w:val="6FC1378E"/>
    <w:rsid w:val="70230478"/>
    <w:rsid w:val="702E5BFE"/>
    <w:rsid w:val="704065EA"/>
    <w:rsid w:val="70832C98"/>
    <w:rsid w:val="709A3939"/>
    <w:rsid w:val="70F60E79"/>
    <w:rsid w:val="71117BB3"/>
    <w:rsid w:val="712B0162"/>
    <w:rsid w:val="71352AEB"/>
    <w:rsid w:val="713D0D36"/>
    <w:rsid w:val="71A9623B"/>
    <w:rsid w:val="723A078F"/>
    <w:rsid w:val="72707695"/>
    <w:rsid w:val="738417E2"/>
    <w:rsid w:val="73BB3104"/>
    <w:rsid w:val="73E1111E"/>
    <w:rsid w:val="73F676A0"/>
    <w:rsid w:val="74C22D11"/>
    <w:rsid w:val="75104AF8"/>
    <w:rsid w:val="75371AAF"/>
    <w:rsid w:val="75E90F54"/>
    <w:rsid w:val="75EE2704"/>
    <w:rsid w:val="76D014C1"/>
    <w:rsid w:val="76E05FD5"/>
    <w:rsid w:val="76EB228A"/>
    <w:rsid w:val="77631423"/>
    <w:rsid w:val="777504D5"/>
    <w:rsid w:val="77790C26"/>
    <w:rsid w:val="778710F1"/>
    <w:rsid w:val="78060FB9"/>
    <w:rsid w:val="78091EE8"/>
    <w:rsid w:val="78632E2A"/>
    <w:rsid w:val="78AC16A3"/>
    <w:rsid w:val="791C36F8"/>
    <w:rsid w:val="7967694A"/>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66738C"/>
    <w:rsid w:val="7CD44B80"/>
    <w:rsid w:val="7CFC1341"/>
    <w:rsid w:val="7D2A758A"/>
    <w:rsid w:val="7D300FC6"/>
    <w:rsid w:val="7D4B685C"/>
    <w:rsid w:val="7DBC1B5A"/>
    <w:rsid w:val="7DDE4850"/>
    <w:rsid w:val="7DF4058D"/>
    <w:rsid w:val="7DF5646B"/>
    <w:rsid w:val="7DFC3DAC"/>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qFormat/>
    <w:uiPriority w:val="0"/>
    <w:rPr>
      <w:rFonts w:eastAsia="宋体"/>
      <w:sz w:val="21"/>
      <w:szCs w:val="20"/>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
    <w:basedOn w:val="1"/>
    <w:link w:val="6"/>
    <w:qFormat/>
    <w:uiPriority w:val="0"/>
    <w:pPr>
      <w:widowControl/>
      <w:spacing w:after="160" w:line="240" w:lineRule="exact"/>
      <w:jc w:val="left"/>
    </w:pPr>
    <w:rPr>
      <w:rFonts w:eastAsia="宋体"/>
      <w:sz w:val="21"/>
      <w:szCs w:val="20"/>
    </w:rPr>
  </w:style>
  <w:style w:type="character" w:styleId="8">
    <w:name w:val="page number"/>
    <w:basedOn w:val="6"/>
    <w:qFormat/>
    <w:uiPriority w:val="0"/>
  </w:style>
  <w:style w:type="character" w:customStyle="1" w:styleId="9">
    <w:name w:val="批注框文本 字符"/>
    <w:link w:val="2"/>
    <w:qFormat/>
    <w:uiPriority w:val="0"/>
    <w:rPr>
      <w:rFonts w:eastAsia="宋体"/>
      <w:kern w:val="2"/>
      <w:sz w:val="18"/>
      <w:szCs w:val="18"/>
    </w:rPr>
  </w:style>
  <w:style w:type="character" w:customStyle="1" w:styleId="10">
    <w:name w:val="页码 New New"/>
    <w:basedOn w:val="6"/>
    <w:qFormat/>
    <w:uiPriority w:val="0"/>
  </w:style>
  <w:style w:type="character" w:customStyle="1" w:styleId="11">
    <w:name w:val="页码 New New New New New New"/>
    <w:basedOn w:val="6"/>
    <w:qFormat/>
    <w:uiPriority w:val="0"/>
  </w:style>
  <w:style w:type="character" w:customStyle="1" w:styleId="12">
    <w:name w:val="页码 New"/>
    <w:basedOn w:val="6"/>
    <w:qFormat/>
    <w:uiPriority w:val="0"/>
  </w:style>
  <w:style w:type="character" w:customStyle="1" w:styleId="13">
    <w:name w:val="页码 New New New"/>
    <w:basedOn w:val="6"/>
    <w:qFormat/>
    <w:uiPriority w:val="0"/>
  </w:style>
  <w:style w:type="character" w:customStyle="1" w:styleId="14">
    <w:name w:val="页码 New New New New New"/>
    <w:basedOn w:val="6"/>
    <w:qFormat/>
    <w:uiPriority w:val="0"/>
  </w:style>
  <w:style w:type="character" w:customStyle="1" w:styleId="15">
    <w:name w:val="font41"/>
    <w:qFormat/>
    <w:uiPriority w:val="0"/>
    <w:rPr>
      <w:rFonts w:hint="eastAsia" w:ascii="宋体" w:hAnsi="宋体" w:eastAsia="宋体" w:cs="宋体"/>
      <w:color w:val="000000"/>
      <w:sz w:val="20"/>
      <w:szCs w:val="20"/>
      <w:u w:val="none"/>
    </w:rPr>
  </w:style>
  <w:style w:type="character" w:customStyle="1" w:styleId="16">
    <w:name w:val="页码 New New New New"/>
    <w:basedOn w:val="6"/>
    <w:qFormat/>
    <w:uiPriority w:val="0"/>
  </w:style>
  <w:style w:type="paragraph" w:customStyle="1" w:styleId="17">
    <w:name w:val="页眉 New New New New New New New New New New New New"/>
    <w:basedOn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9">
    <w:name w:val="页眉 New New New"/>
    <w:basedOn w:val="20"/>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页眉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页眉 New New New New New New New New New New New New New New New New New New New New New New"/>
    <w:basedOn w:val="26"/>
    <w:uiPriority w:val="0"/>
    <w:pPr>
      <w:pBdr>
        <w:bottom w:val="single" w:color="auto" w:sz="6" w:space="1"/>
      </w:pBdr>
      <w:tabs>
        <w:tab w:val="center" w:pos="4153"/>
        <w:tab w:val="right" w:pos="8306"/>
      </w:tabs>
      <w:snapToGrid w:val="0"/>
      <w:jc w:val="center"/>
    </w:pPr>
    <w:rPr>
      <w:sz w:val="18"/>
      <w:szCs w:val="18"/>
    </w:rPr>
  </w:style>
  <w:style w:type="paragraph" w:customStyle="1" w:styleId="2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7">
    <w:name w:val="页眉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9">
    <w:name w:val="页眉 New New New New New New New New New New New New New New New New New New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页脚 New New New New New New New New New New New New New New New New New New New New New New New New New"/>
    <w:basedOn w:val="32"/>
    <w:qFormat/>
    <w:uiPriority w:val="0"/>
    <w:pPr>
      <w:tabs>
        <w:tab w:val="center" w:pos="4153"/>
        <w:tab w:val="right" w:pos="8306"/>
      </w:tabs>
      <w:snapToGrid w:val="0"/>
      <w:jc w:val="left"/>
    </w:pPr>
    <w:rPr>
      <w:rFonts w:eastAsia="仿宋_GB2312"/>
      <w:kern w:val="2"/>
      <w:sz w:val="18"/>
    </w:rPr>
  </w:style>
  <w:style w:type="paragraph" w:customStyle="1" w:styleId="32">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3">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页眉 New New New New New New New New New New New New New New New New New New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页脚 New"/>
    <w:basedOn w:val="28"/>
    <w:qFormat/>
    <w:uiPriority w:val="0"/>
    <w:pPr>
      <w:tabs>
        <w:tab w:val="center" w:pos="4153"/>
        <w:tab w:val="right" w:pos="8306"/>
      </w:tabs>
      <w:snapToGrid w:val="0"/>
      <w:jc w:val="left"/>
    </w:pPr>
    <w:rPr>
      <w:rFonts w:eastAsia="仿宋_GB2312"/>
      <w:kern w:val="2"/>
      <w:sz w:val="18"/>
    </w:rPr>
  </w:style>
  <w:style w:type="paragraph" w:customStyle="1" w:styleId="38">
    <w:name w:val="页眉 New New New New New New New New New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脚 New New"/>
    <w:basedOn w:val="42"/>
    <w:qFormat/>
    <w:uiPriority w:val="0"/>
    <w:pPr>
      <w:tabs>
        <w:tab w:val="center" w:pos="4153"/>
        <w:tab w:val="right" w:pos="8306"/>
      </w:tabs>
      <w:snapToGrid w:val="0"/>
      <w:jc w:val="left"/>
    </w:pPr>
    <w:rPr>
      <w:rFonts w:eastAsia="仿宋_GB2312"/>
      <w:kern w:val="2"/>
      <w:sz w:val="18"/>
    </w:rPr>
  </w:style>
  <w:style w:type="paragraph" w:customStyle="1" w:styleId="42">
    <w:name w:val="正文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3">
    <w:name w:val="页眉 New New New New"/>
    <w:basedOn w:val="30"/>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w:basedOn w:val="45"/>
    <w:uiPriority w:val="0"/>
    <w:pPr>
      <w:pBdr>
        <w:bottom w:val="single" w:color="auto" w:sz="6" w:space="1"/>
      </w:pBdr>
      <w:tabs>
        <w:tab w:val="center" w:pos="4153"/>
        <w:tab w:val="right" w:pos="8306"/>
      </w:tabs>
      <w:snapToGrid w:val="0"/>
      <w:jc w:val="center"/>
    </w:pPr>
    <w:rPr>
      <w:sz w:val="18"/>
      <w:szCs w:val="18"/>
    </w:rPr>
  </w:style>
  <w:style w:type="paragraph" w:customStyle="1" w:styleId="45">
    <w:name w:val="正文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脚 New New New New New New New New New New New New New New New"/>
    <w:basedOn w:val="24"/>
    <w:uiPriority w:val="0"/>
    <w:pPr>
      <w:tabs>
        <w:tab w:val="center" w:pos="4153"/>
        <w:tab w:val="right" w:pos="8306"/>
      </w:tabs>
      <w:snapToGrid w:val="0"/>
      <w:jc w:val="left"/>
    </w:pPr>
    <w:rPr>
      <w:sz w:val="18"/>
      <w:szCs w:val="18"/>
    </w:rPr>
  </w:style>
  <w:style w:type="paragraph" w:customStyle="1" w:styleId="47">
    <w:name w:val="页脚 New New New New New New New New New New New New"/>
    <w:basedOn w:val="18"/>
    <w:uiPriority w:val="0"/>
    <w:pPr>
      <w:tabs>
        <w:tab w:val="center" w:pos="4153"/>
        <w:tab w:val="right" w:pos="8306"/>
      </w:tabs>
      <w:snapToGrid w:val="0"/>
      <w:jc w:val="left"/>
    </w:pPr>
    <w:rPr>
      <w:sz w:val="18"/>
      <w:szCs w:val="18"/>
    </w:rPr>
  </w:style>
  <w:style w:type="paragraph" w:customStyle="1" w:styleId="48">
    <w:name w:val="页眉 New New New New New New New New New New New New New New New New New New New New"/>
    <w:basedOn w:val="49"/>
    <w:uiPriority w:val="0"/>
    <w:pPr>
      <w:pBdr>
        <w:bottom w:val="single" w:color="auto" w:sz="6" w:space="1"/>
      </w:pBdr>
      <w:tabs>
        <w:tab w:val="center" w:pos="4153"/>
        <w:tab w:val="right" w:pos="8306"/>
      </w:tabs>
      <w:snapToGrid w:val="0"/>
      <w:jc w:val="center"/>
    </w:pPr>
    <w:rPr>
      <w:sz w:val="18"/>
      <w:szCs w:val="18"/>
    </w:rPr>
  </w:style>
  <w:style w:type="paragraph" w:customStyle="1" w:styleId="49">
    <w:name w:val="正文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0">
    <w:name w:val="页脚 New New New New New New New New New New New New New New New New"/>
    <w:basedOn w:val="51"/>
    <w:uiPriority w:val="0"/>
    <w:pPr>
      <w:tabs>
        <w:tab w:val="center" w:pos="4153"/>
        <w:tab w:val="right" w:pos="8306"/>
      </w:tabs>
      <w:snapToGrid w:val="0"/>
      <w:jc w:val="left"/>
    </w:pPr>
    <w:rPr>
      <w:sz w:val="18"/>
      <w:szCs w:val="18"/>
    </w:rPr>
  </w:style>
  <w:style w:type="paragraph" w:customStyle="1" w:styleId="51">
    <w:name w:val="正文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页脚 New New New New New New New New New New New New New New New New New New New New New New New New New New"/>
    <w:basedOn w:val="36"/>
    <w:uiPriority w:val="0"/>
    <w:pPr>
      <w:tabs>
        <w:tab w:val="center" w:pos="4153"/>
        <w:tab w:val="right" w:pos="8306"/>
      </w:tabs>
      <w:snapToGrid w:val="0"/>
      <w:jc w:val="left"/>
    </w:pPr>
    <w:rPr>
      <w:sz w:val="18"/>
      <w:szCs w:val="18"/>
    </w:rPr>
  </w:style>
  <w:style w:type="paragraph" w:customStyle="1" w:styleId="53">
    <w:name w:val="页脚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54">
    <w:name w:val="正文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6">
    <w:name w:val="页眉 New New New New New New New New New New New New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8">
    <w:name w:val="页脚 New New New New New New New New New New New New New New New New New New New New"/>
    <w:basedOn w:val="49"/>
    <w:qFormat/>
    <w:uiPriority w:val="0"/>
    <w:pPr>
      <w:tabs>
        <w:tab w:val="center" w:pos="4153"/>
        <w:tab w:val="right" w:pos="8306"/>
      </w:tabs>
      <w:snapToGrid w:val="0"/>
      <w:jc w:val="left"/>
    </w:pPr>
    <w:rPr>
      <w:sz w:val="18"/>
      <w:szCs w:val="18"/>
    </w:rPr>
  </w:style>
  <w:style w:type="paragraph" w:customStyle="1" w:styleId="59">
    <w:name w:val="页脚 New New New New New New New New New"/>
    <w:basedOn w:val="60"/>
    <w:qFormat/>
    <w:uiPriority w:val="0"/>
    <w:pPr>
      <w:tabs>
        <w:tab w:val="center" w:pos="4153"/>
        <w:tab w:val="right" w:pos="8306"/>
      </w:tabs>
      <w:snapToGrid w:val="0"/>
      <w:jc w:val="left"/>
    </w:pPr>
    <w:rPr>
      <w:sz w:val="18"/>
      <w:szCs w:val="18"/>
    </w:rPr>
  </w:style>
  <w:style w:type="paragraph" w:customStyle="1" w:styleId="60">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New New New New New New New New New New New New New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3">
    <w:name w:val="页眉 New New New New New New New New New New New New New New"/>
    <w:basedOn w:val="57"/>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66">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7">
    <w:name w:val="p0"/>
    <w:basedOn w:val="30"/>
    <w:qFormat/>
    <w:uiPriority w:val="0"/>
    <w:pPr>
      <w:widowControl/>
    </w:pPr>
    <w:rPr>
      <w:rFonts w:eastAsia="宋体"/>
      <w:kern w:val="0"/>
      <w:szCs w:val="32"/>
    </w:rPr>
  </w:style>
  <w:style w:type="paragraph" w:customStyle="1" w:styleId="68">
    <w:name w:val="页脚 New New New New New New New New New New New New New New New New New New New"/>
    <w:basedOn w:val="66"/>
    <w:qFormat/>
    <w:uiPriority w:val="0"/>
    <w:pPr>
      <w:tabs>
        <w:tab w:val="center" w:pos="4153"/>
        <w:tab w:val="right" w:pos="8306"/>
      </w:tabs>
      <w:snapToGrid w:val="0"/>
      <w:jc w:val="left"/>
    </w:pPr>
    <w:rPr>
      <w:sz w:val="18"/>
      <w:szCs w:val="18"/>
    </w:rPr>
  </w:style>
  <w:style w:type="paragraph" w:customStyle="1" w:styleId="69">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0">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脚 New New New New New"/>
    <w:basedOn w:val="45"/>
    <w:uiPriority w:val="0"/>
    <w:pPr>
      <w:tabs>
        <w:tab w:val="center" w:pos="4153"/>
        <w:tab w:val="right" w:pos="8306"/>
      </w:tabs>
      <w:snapToGrid w:val="0"/>
      <w:jc w:val="left"/>
    </w:pPr>
    <w:rPr>
      <w:sz w:val="18"/>
      <w:szCs w:val="18"/>
    </w:rPr>
  </w:style>
  <w:style w:type="paragraph" w:customStyle="1" w:styleId="72">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3">
    <w:name w:val="页脚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74">
    <w:name w:val="页眉 New New New New New New New New New New New New New New New New New New New New New New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w:basedOn w:val="72"/>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w:basedOn w:val="34"/>
    <w:uiPriority w:val="0"/>
    <w:pPr>
      <w:tabs>
        <w:tab w:val="center" w:pos="4153"/>
        <w:tab w:val="right" w:pos="8306"/>
      </w:tabs>
      <w:snapToGrid w:val="0"/>
      <w:jc w:val="left"/>
    </w:pPr>
    <w:rPr>
      <w:sz w:val="18"/>
      <w:szCs w:val="18"/>
    </w:rPr>
  </w:style>
  <w:style w:type="paragraph" w:customStyle="1" w:styleId="77">
    <w:name w:val="页脚 New New New New New New New New New New"/>
    <w:basedOn w:val="70"/>
    <w:uiPriority w:val="0"/>
    <w:pPr>
      <w:tabs>
        <w:tab w:val="center" w:pos="4153"/>
        <w:tab w:val="right" w:pos="8306"/>
      </w:tabs>
      <w:snapToGrid w:val="0"/>
      <w:jc w:val="left"/>
    </w:pPr>
    <w:rPr>
      <w:sz w:val="18"/>
      <w:szCs w:val="18"/>
    </w:rPr>
  </w:style>
  <w:style w:type="paragraph" w:customStyle="1" w:styleId="78">
    <w:name w:val="页眉 New New New New New New New New New New New New New New New New"/>
    <w:basedOn w:val="51"/>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w:basedOn w:val="24"/>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w:basedOn w:val="70"/>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New"/>
    <w:basedOn w:val="62"/>
    <w:uiPriority w:val="0"/>
    <w:pPr>
      <w:tabs>
        <w:tab w:val="center" w:pos="4153"/>
        <w:tab w:val="right" w:pos="8306"/>
      </w:tabs>
      <w:snapToGrid w:val="0"/>
      <w:jc w:val="left"/>
    </w:pPr>
    <w:rPr>
      <w:sz w:val="18"/>
      <w:szCs w:val="18"/>
    </w:rPr>
  </w:style>
  <w:style w:type="paragraph" w:customStyle="1" w:styleId="82">
    <w:name w:val="页脚 New New New"/>
    <w:basedOn w:val="20"/>
    <w:uiPriority w:val="0"/>
    <w:pPr>
      <w:tabs>
        <w:tab w:val="center" w:pos="4153"/>
        <w:tab w:val="right" w:pos="8306"/>
      </w:tabs>
      <w:snapToGrid w:val="0"/>
      <w:jc w:val="left"/>
    </w:pPr>
    <w:rPr>
      <w:rFonts w:eastAsia="仿宋_GB2312"/>
      <w:kern w:val="2"/>
      <w:sz w:val="18"/>
    </w:rPr>
  </w:style>
  <w:style w:type="paragraph" w:customStyle="1" w:styleId="83">
    <w:name w:val="页脚 New New New New"/>
    <w:basedOn w:val="30"/>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w:basedOn w:val="60"/>
    <w:uiPriority w:val="0"/>
    <w:pPr>
      <w:pBdr>
        <w:bottom w:val="single" w:color="auto" w:sz="6" w:space="1"/>
      </w:pBdr>
      <w:tabs>
        <w:tab w:val="center" w:pos="4153"/>
        <w:tab w:val="right" w:pos="8306"/>
      </w:tabs>
      <w:snapToGrid w:val="0"/>
      <w:jc w:val="center"/>
    </w:pPr>
    <w:rPr>
      <w:sz w:val="18"/>
      <w:szCs w:val="18"/>
    </w:rPr>
  </w:style>
  <w:style w:type="paragraph" w:customStyle="1" w:styleId="85">
    <w:name w:val="页脚 New New New New New New New New New New New New New New New New New New New New New New"/>
    <w:basedOn w:val="26"/>
    <w:uiPriority w:val="0"/>
    <w:pPr>
      <w:tabs>
        <w:tab w:val="center" w:pos="4153"/>
        <w:tab w:val="right" w:pos="8306"/>
      </w:tabs>
      <w:snapToGrid w:val="0"/>
      <w:jc w:val="left"/>
    </w:pPr>
    <w:rPr>
      <w:sz w:val="18"/>
      <w:szCs w:val="18"/>
    </w:rPr>
  </w:style>
  <w:style w:type="paragraph" w:customStyle="1" w:styleId="86">
    <w:name w:val="页脚 New New New New New New"/>
    <w:basedOn w:val="40"/>
    <w:uiPriority w:val="0"/>
    <w:pPr>
      <w:tabs>
        <w:tab w:val="center" w:pos="4153"/>
        <w:tab w:val="right" w:pos="8306"/>
      </w:tabs>
      <w:snapToGrid w:val="0"/>
      <w:jc w:val="left"/>
    </w:pPr>
    <w:rPr>
      <w:sz w:val="18"/>
      <w:szCs w:val="18"/>
    </w:rPr>
  </w:style>
  <w:style w:type="paragraph" w:customStyle="1" w:styleId="87">
    <w:name w:val="页脚 New New New New New New New New New New New"/>
    <w:basedOn w:val="23"/>
    <w:qFormat/>
    <w:uiPriority w:val="0"/>
    <w:pPr>
      <w:tabs>
        <w:tab w:val="center" w:pos="4153"/>
        <w:tab w:val="right" w:pos="8306"/>
      </w:tabs>
      <w:snapToGrid w:val="0"/>
      <w:jc w:val="left"/>
    </w:pPr>
    <w:rPr>
      <w:sz w:val="18"/>
      <w:szCs w:val="18"/>
    </w:rPr>
  </w:style>
  <w:style w:type="paragraph" w:customStyle="1" w:styleId="88">
    <w:name w:val="页脚 New New New New New New New New New New New New New New New New New New"/>
    <w:basedOn w:val="69"/>
    <w:uiPriority w:val="0"/>
    <w:pPr>
      <w:tabs>
        <w:tab w:val="center" w:pos="4153"/>
        <w:tab w:val="right" w:pos="8306"/>
      </w:tabs>
      <w:snapToGrid w:val="0"/>
      <w:jc w:val="left"/>
    </w:pPr>
    <w:rPr>
      <w:sz w:val="18"/>
      <w:szCs w:val="18"/>
    </w:rPr>
  </w:style>
  <w:style w:type="paragraph" w:customStyle="1" w:styleId="89">
    <w:name w:val="页眉 New New New New New New New New"/>
    <w:basedOn w:val="34"/>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w:basedOn w:val="69"/>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New New New New New New New New New New"/>
    <w:basedOn w:val="57"/>
    <w:qFormat/>
    <w:uiPriority w:val="0"/>
    <w:pPr>
      <w:tabs>
        <w:tab w:val="center" w:pos="4153"/>
        <w:tab w:val="right" w:pos="8306"/>
      </w:tabs>
      <w:snapToGrid w:val="0"/>
      <w:jc w:val="left"/>
    </w:pPr>
    <w:rPr>
      <w:rFonts w:eastAsia="仿宋_GB2312"/>
      <w:kern w:val="2"/>
      <w:sz w:val="18"/>
    </w:rPr>
  </w:style>
  <w:style w:type="paragraph" w:customStyle="1" w:styleId="92">
    <w:name w:val="页眉 New New New New New New New New New New New New New New New New New New New New New New New New New"/>
    <w:basedOn w:val="32"/>
    <w:uiPriority w:val="0"/>
    <w:pPr>
      <w:pBdr>
        <w:bottom w:val="single" w:color="auto" w:sz="6" w:space="1"/>
      </w:pBdr>
      <w:tabs>
        <w:tab w:val="center" w:pos="4153"/>
        <w:tab w:val="right" w:pos="8306"/>
      </w:tabs>
      <w:snapToGrid w:val="0"/>
      <w:jc w:val="center"/>
    </w:pPr>
    <w:rPr>
      <w:sz w:val="18"/>
      <w:szCs w:val="18"/>
    </w:rPr>
  </w:style>
  <w:style w:type="paragraph" w:customStyle="1" w:styleId="93">
    <w:name w:val="页眉 New New New New New New New New New New New New New New New New New New New"/>
    <w:basedOn w:val="66"/>
    <w:uiPriority w:val="0"/>
    <w:pPr>
      <w:pBdr>
        <w:bottom w:val="single" w:color="auto" w:sz="6" w:space="1"/>
      </w:pBdr>
      <w:tabs>
        <w:tab w:val="center" w:pos="4153"/>
        <w:tab w:val="right" w:pos="8306"/>
      </w:tabs>
      <w:snapToGrid w:val="0"/>
      <w:jc w:val="center"/>
    </w:pPr>
    <w:rPr>
      <w:sz w:val="18"/>
      <w:szCs w:val="18"/>
    </w:rPr>
  </w:style>
  <w:style w:type="paragraph" w:customStyle="1" w:styleId="94">
    <w:name w:val="页脚 New New New New New New New"/>
    <w:basedOn w:val="72"/>
    <w:uiPriority w:val="0"/>
    <w:pPr>
      <w:tabs>
        <w:tab w:val="center" w:pos="4153"/>
        <w:tab w:val="right" w:pos="8306"/>
      </w:tabs>
      <w:snapToGrid w:val="0"/>
      <w:jc w:val="left"/>
    </w:pPr>
    <w:rPr>
      <w:sz w:val="18"/>
      <w:szCs w:val="18"/>
    </w:rPr>
  </w:style>
  <w:style w:type="paragraph" w:customStyle="1" w:styleId="95">
    <w:name w:val="页脚 New New New New New New New New New New New New New"/>
    <w:basedOn w:val="33"/>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1859;&#27801;&#23376;&#38215;&#20013;&#24515;&#26657;&#22270;&#24418;&#2603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1859;&#27801;&#23376;&#38215;&#20013;&#24515;&#26657;&#22270;&#24418;&#2603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1859;&#27801;&#23376;&#38215;&#20013;&#24515;&#26657;&#22270;&#24418;&#2603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1859;&#27801;&#23376;&#38215;&#20013;&#24515;&#26657;&#22270;&#24418;&#2603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1859;&#27801;&#23376;&#38215;&#20013;&#24515;&#26657;&#22270;&#24418;&#2603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1859;&#27801;&#23376;&#38215;&#20013;&#24515;&#26657;&#22270;&#2441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各年度收支总计</a:t>
            </a: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'[米沙子镇中心校图形新.xlsx]1'!$C$3:$D$3</c:f>
              <c:strCache>
                <c:ptCount val="2"/>
                <c:pt idx="0">
                  <c:v>2021年度收支</c:v>
                </c:pt>
                <c:pt idx="1">
                  <c:v>2022年度收支</c:v>
                </c:pt>
              </c:strCache>
            </c:strRef>
          </c:cat>
          <c:val>
            <c:numRef>
              <c:f>'[米沙子镇中心校图形新.xlsx]1'!$C$4:$D$4</c:f>
              <c:numCache>
                <c:formatCode>General</c:formatCode>
                <c:ptCount val="2"/>
                <c:pt idx="0">
                  <c:v>2143.84</c:v>
                </c:pt>
                <c:pt idx="1">
                  <c:v>2242.77</c:v>
                </c:pt>
              </c:numCache>
            </c:numRef>
          </c:val>
        </c:ser>
        <c:dLbls>
          <c:showLegendKey val="0"/>
          <c:showVal val="1"/>
          <c:showCatName val="0"/>
          <c:showSerName val="0"/>
          <c:showPercent val="0"/>
          <c:showBubbleSize val="0"/>
        </c:dLbls>
        <c:gapWidth val="219"/>
        <c:overlap val="-27"/>
        <c:axId val="246019190"/>
        <c:axId val="961126307"/>
      </c:barChart>
      <c:catAx>
        <c:axId val="246019190"/>
        <c:scaling>
          <c:orientation val="minMax"/>
        </c:scaling>
        <c:delete val="0"/>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1126307"/>
        <c:crosses val="autoZero"/>
        <c:auto val="1"/>
        <c:lblAlgn val="ctr"/>
        <c:lblOffset val="100"/>
        <c:noMultiLvlLbl val="0"/>
      </c:catAx>
      <c:valAx>
        <c:axId val="96112630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601919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91870318065"/>
          <c:y val="0.0461796809403862"/>
          <c:w val="0.531008227925826"/>
          <c:h val="0.907640638119228"/>
        </c:manualLayout>
      </c:layout>
      <c:pieChart>
        <c:varyColors val="1"/>
        <c:ser>
          <c:idx val="0"/>
          <c:order val="0"/>
          <c:spPr/>
          <c:explosion val="0"/>
          <c:dPt>
            <c:idx val="0"/>
            <c:bubble3D val="0"/>
            <c:spPr>
              <a:solidFill>
                <a:srgbClr val="4F81BD"/>
              </a:solidFill>
              <a:ln>
                <a:noFill/>
              </a:ln>
              <a:effectLst>
                <a:outerShdw blurRad="254000" sx="102000" sy="102000" algn="ctr" rotWithShape="0">
                  <a:prstClr val="black">
                    <a:alpha val="20000"/>
                  </a:prstClr>
                </a:outerShdw>
              </a:effectLst>
            </c:spPr>
          </c:dPt>
          <c:dPt>
            <c:idx val="1"/>
            <c:bubble3D val="0"/>
            <c:spPr>
              <a:solidFill>
                <a:srgbClr val="C0504D"/>
              </a:solidFill>
              <a:ln>
                <a:noFill/>
              </a:ln>
              <a:effectLst>
                <a:outerShdw blurRad="254000" sx="102000" sy="102000" algn="ctr" rotWithShape="0">
                  <a:prstClr val="black">
                    <a:alpha val="20000"/>
                  </a:prstClr>
                </a:outerShdw>
              </a:effectLst>
            </c:spPr>
          </c:dPt>
          <c:dLbls>
            <c:dLbl>
              <c:idx val="0"/>
              <c:layout>
                <c:manualLayout>
                  <c:x val="0.346833756323641"/>
                  <c:y val="-0.052341386230470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rgbClr val="FFFFFF"/>
                        </a:solidFill>
                        <a:latin typeface="+mn-lt"/>
                        <a:ea typeface="+mn-ea"/>
                        <a:cs typeface="+mn-cs"/>
                      </a:defRPr>
                    </a:pPr>
                    <a:r>
                      <a:rPr altLang="en-US"/>
                      <a:t>财政拨款收入</a:t>
                    </a:r>
                    <a:r>
                      <a:rPr lang="en-US" altLang="zh-CN"/>
                      <a:t>2175.19</a:t>
                    </a:r>
                    <a:r>
                      <a:t>占</a:t>
                    </a:r>
                    <a:r>
                      <a:rPr lang="en-US" altLang="zh-CN"/>
                      <a:t>99.6</a:t>
                    </a:r>
                    <a:r>
                      <a:t>%</a:t>
                    </a:r>
                  </a:p>
                </c:rich>
              </c:tx>
              <c:dLblPos val="bestFit"/>
              <c:showLegendKey val="1"/>
              <c:showVal val="0"/>
              <c:showCatName val="1"/>
              <c:showSerName val="1"/>
              <c:showPercent val="1"/>
              <c:showBubbleSize val="0"/>
              <c:separator>
</c:separator>
              <c:extLst>
                <c:ext xmlns:c15="http://schemas.microsoft.com/office/drawing/2012/chart" uri="{CE6537A1-D6FC-4f65-9D91-7224C49458BB}">
                  <c15:layout>
                    <c:manualLayout>
                      <c:w val="0.262361111111111"/>
                      <c:h val="0.226495726495726"/>
                    </c:manualLayout>
                  </c15:layout>
                </c:ext>
              </c:extLst>
            </c:dLbl>
            <c:dLbl>
              <c:idx val="1"/>
              <c:layout>
                <c:manualLayout>
                  <c:x val="-0.306307023995994"/>
                  <c:y val="0.010897479322905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rgbClr val="FFFFFF"/>
                        </a:solidFill>
                        <a:latin typeface="+mn-lt"/>
                        <a:ea typeface="+mn-ea"/>
                        <a:cs typeface="+mn-cs"/>
                      </a:defRPr>
                    </a:pPr>
                    <a:r>
                      <a:rPr altLang="en-US"/>
                      <a:t>其他收入</a:t>
                    </a:r>
                    <a:r>
                      <a:rPr lang="en-US" altLang="zh-CN"/>
                      <a:t>8.19</a:t>
                    </a:r>
                    <a:r>
                      <a:t>占</a:t>
                    </a:r>
                    <a:r>
                      <a:rPr lang="en-US" altLang="zh-CN"/>
                      <a:t>0.4</a:t>
                    </a:r>
                    <a:r>
                      <a:t>%</a:t>
                    </a:r>
                  </a:p>
                </c:rich>
              </c:tx>
              <c:dLblPos val="bestFit"/>
              <c:showLegendKey val="1"/>
              <c:showVal val="0"/>
              <c:showCatName val="1"/>
              <c:showSerName val="1"/>
              <c:showPercent val="1"/>
              <c:showBubbleSize val="0"/>
              <c:separator>
</c:separator>
              <c:extLst>
                <c:ext xmlns:c15="http://schemas.microsoft.com/office/drawing/2012/chart" uri="{CE6537A1-D6FC-4f65-9D91-7224C49458BB}">
                  <c15:layout>
                    <c:manualLayout>
                      <c:w val="0.217494444444444"/>
                      <c:h val="0.184947768281102"/>
                    </c:manualLayout>
                  </c15:layout>
                </c:ext>
              </c:extLst>
            </c:dLbl>
            <c:spPr>
              <a:pattFill prst="pct75">
                <a:fgClr>
                  <a:srgbClr val="404040">
                    <a:lumMod val="75000"/>
                    <a:lumOff val="25000"/>
                  </a:srgbClr>
                </a:fgClr>
                <a:bgClr>
                  <a:srgbClr val="595959">
                    <a:lumMod val="65000"/>
                    <a:lumOff val="35000"/>
                  </a:srgb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p>
            </c:txPr>
            <c:dLblPos val="ctr"/>
            <c:showLegendKey val="1"/>
            <c:showVal val="0"/>
            <c:showCatName val="1"/>
            <c:showSerName val="1"/>
            <c:showPercent val="1"/>
            <c:showBubbleSize val="0"/>
            <c:showLeaderLines val="1"/>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'[米沙子镇中心校图形新.xlsx]2'!$A$1:$A$2</c:f>
              <c:strCache>
                <c:ptCount val="2"/>
                <c:pt idx="0">
                  <c:v>财政拨款收入</c:v>
                </c:pt>
                <c:pt idx="1">
                  <c:v>其他收入</c:v>
                </c:pt>
              </c:strCache>
            </c:strRef>
          </c:cat>
          <c:val>
            <c:numRef>
              <c:f>'[米沙子镇中心校图形新.xlsx]2'!$B$1:$B$2</c:f>
              <c:numCache>
                <c:formatCode>General</c:formatCode>
                <c:ptCount val="2"/>
                <c:pt idx="0">
                  <c:v>2175.19</c:v>
                </c:pt>
                <c:pt idx="1">
                  <c:v>8.19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rgbClr val="F2F2F2">
            <a:lumMod val="95000"/>
            <a:alpha val="39000"/>
          </a:srgbClr>
        </a:solid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mn-lt"/>
              <a:ea typeface="+mn-ea"/>
              <a:cs typeface="+mn-cs"/>
            </a:defRPr>
          </a:pPr>
        </a:p>
      </c:txPr>
    </c:legend>
    <c:plotVisOnly val="1"/>
    <c:dispBlanksAs val="gap"/>
    <c:showDLblsOverMax val="0"/>
  </c:chart>
  <c: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91870318065"/>
          <c:y val="0.0461796809403862"/>
          <c:w val="0.531008227925826"/>
          <c:h val="0.907640638119228"/>
        </c:manualLayout>
      </c:layout>
      <c:pieChart>
        <c:varyColors val="1"/>
        <c:ser>
          <c:idx val="0"/>
          <c:order val="0"/>
          <c:spPr/>
          <c:explosion val="0"/>
          <c:dPt>
            <c:idx val="0"/>
            <c:bubble3D val="0"/>
            <c:spPr>
              <a:solidFill>
                <a:srgbClr val="4F81BD"/>
              </a:solidFill>
              <a:ln>
                <a:noFill/>
              </a:ln>
              <a:effectLst>
                <a:outerShdw blurRad="254000" sx="102000" sy="102000" algn="ctr" rotWithShape="0">
                  <a:prstClr val="black">
                    <a:alpha val="20000"/>
                  </a:prstClr>
                </a:outerShdw>
              </a:effectLst>
            </c:spPr>
          </c:dPt>
          <c:dPt>
            <c:idx val="1"/>
            <c:bubble3D val="0"/>
            <c:spPr>
              <a:solidFill>
                <a:srgbClr val="C0504D"/>
              </a:solidFill>
              <a:ln>
                <a:noFill/>
              </a:ln>
              <a:effectLst>
                <a:outerShdw blurRad="254000" sx="102000" sy="102000" algn="ctr" rotWithShape="0">
                  <a:prstClr val="black">
                    <a:alpha val="20000"/>
                  </a:prstClr>
                </a:outerShdw>
              </a:effectLst>
            </c:spPr>
          </c:dPt>
          <c:dLbls>
            <c:dLbl>
              <c:idx val="0"/>
              <c:layout>
                <c:manualLayout>
                  <c:x val="0.346833756323641"/>
                  <c:y val="-0.052341386230470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rgbClr val="FFFFFF"/>
                        </a:solidFill>
                        <a:latin typeface="+mn-lt"/>
                        <a:ea typeface="+mn-ea"/>
                        <a:cs typeface="+mn-cs"/>
                      </a:defRPr>
                    </a:pPr>
                    <a:r>
                      <a:t>基本支出</a:t>
                    </a:r>
                    <a:r>
                      <a:rPr lang="en-US" altLang="zh-CN"/>
                      <a:t>2126.98</a:t>
                    </a:r>
                    <a:r>
                      <a:t>占</a:t>
                    </a:r>
                    <a:r>
                      <a:rPr lang="en-US" altLang="zh-CN"/>
                      <a:t>95.3</a:t>
                    </a:r>
                    <a:r>
                      <a:t>%</a:t>
                    </a:r>
                  </a:p>
                </c:rich>
              </c:tx>
              <c:dLblPos val="bestFit"/>
              <c:showLegendKey val="1"/>
              <c:showVal val="0"/>
              <c:showCatName val="1"/>
              <c:showSerName val="1"/>
              <c:showPercent val="1"/>
              <c:showBubbleSize val="0"/>
              <c:separator>
</c:separator>
              <c:extLst>
                <c:ext xmlns:c15="http://schemas.microsoft.com/office/drawing/2012/chart" uri="{CE6537A1-D6FC-4f65-9D91-7224C49458BB}">
                  <c15:layout>
                    <c:manualLayout>
                      <c:w val="0.262361111111111"/>
                      <c:h val="0.226495726495726"/>
                    </c:manualLayout>
                  </c15:layout>
                </c:ext>
              </c:extLst>
            </c:dLbl>
            <c:dLbl>
              <c:idx val="1"/>
              <c:layout>
                <c:manualLayout>
                  <c:x val="-0.279781173572317"/>
                  <c:y val="0.00082191257227571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rgbClr val="FFFFFF"/>
                        </a:solidFill>
                        <a:latin typeface="+mn-lt"/>
                        <a:ea typeface="+mn-ea"/>
                        <a:cs typeface="+mn-cs"/>
                      </a:defRPr>
                    </a:pPr>
                    <a:r>
                      <a:t>项目支出</a:t>
                    </a:r>
                    <a:r>
                      <a:rPr lang="en-US" altLang="zh-CN"/>
                      <a:t>104.11</a:t>
                    </a:r>
                    <a:r>
                      <a:t>占</a:t>
                    </a:r>
                    <a:r>
                      <a:rPr lang="en-US" altLang="zh-CN"/>
                      <a:t>4.7</a:t>
                    </a:r>
                    <a:r>
                      <a:t>%</a:t>
                    </a:r>
                  </a:p>
                </c:rich>
              </c:tx>
              <c:dLblPos val="bestFit"/>
              <c:showLegendKey val="1"/>
              <c:showVal val="0"/>
              <c:showCatName val="1"/>
              <c:showSerName val="1"/>
              <c:showPercent val="1"/>
              <c:showBubbleSize val="0"/>
              <c:separator>
</c:separator>
              <c:extLst>
                <c:ext xmlns:c15="http://schemas.microsoft.com/office/drawing/2012/chart" uri="{CE6537A1-D6FC-4f65-9D91-7224C49458BB}">
                  <c15:layout>
                    <c:manualLayout>
                      <c:w val="0.217494444444444"/>
                      <c:h val="0.184947768281102"/>
                    </c:manualLayout>
                  </c15:layout>
                </c:ext>
              </c:extLst>
            </c:dLbl>
            <c:spPr>
              <a:pattFill prst="pct75">
                <a:fgClr>
                  <a:srgbClr val="404040">
                    <a:lumMod val="75000"/>
                    <a:lumOff val="25000"/>
                  </a:srgbClr>
                </a:fgClr>
                <a:bgClr>
                  <a:srgbClr val="595959">
                    <a:lumMod val="65000"/>
                    <a:lumOff val="35000"/>
                  </a:srgb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p>
            </c:txPr>
            <c:dLblPos val="ctr"/>
            <c:showLegendKey val="1"/>
            <c:showVal val="0"/>
            <c:showCatName val="1"/>
            <c:showSerName val="1"/>
            <c:showPercent val="1"/>
            <c:showBubbleSize val="0"/>
            <c:showLeaderLines val="1"/>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'[米沙子镇中心校图形新.xlsx]3'!$A$1:$A$2</c:f>
              <c:strCache>
                <c:ptCount val="2"/>
                <c:pt idx="0">
                  <c:v>基本支出</c:v>
                </c:pt>
                <c:pt idx="1">
                  <c:v>项目支出</c:v>
                </c:pt>
              </c:strCache>
            </c:strRef>
          </c:cat>
          <c:val>
            <c:numRef>
              <c:f>'[米沙子镇中心校图形新.xlsx]3'!$B$1:$B$2</c:f>
              <c:numCache>
                <c:formatCode>General</c:formatCode>
                <c:ptCount val="2"/>
                <c:pt idx="0">
                  <c:v>2126.98</c:v>
                </c:pt>
                <c:pt idx="1">
                  <c:v>104.11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rgbClr val="F2F2F2">
            <a:lumMod val="95000"/>
            <a:alpha val="39000"/>
          </a:srgbClr>
        </a:solid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mn-lt"/>
              <a:ea typeface="+mn-ea"/>
              <a:cs typeface="+mn-cs"/>
            </a:defRPr>
          </a:pPr>
        </a:p>
      </c:txPr>
    </c:legend>
    <c:plotVisOnly val="1"/>
    <c:dispBlanksAs val="gap"/>
    <c:showDLblsOverMax val="0"/>
  </c:chart>
  <c: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各年度财政拨款收支总计</a:t>
            </a: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'[米沙子镇中心校图形新.xlsx]4'!$C$3:$D$3</c:f>
              <c:strCache>
                <c:ptCount val="2"/>
                <c:pt idx="0">
                  <c:v>2021年度收支</c:v>
                </c:pt>
                <c:pt idx="1">
                  <c:v>2022年度收支</c:v>
                </c:pt>
              </c:strCache>
            </c:strRef>
          </c:cat>
          <c:val>
            <c:numRef>
              <c:f>'[米沙子镇中心校图形新.xlsx]4'!$C$4:$D$4</c:f>
              <c:numCache>
                <c:formatCode>General</c:formatCode>
                <c:ptCount val="2"/>
                <c:pt idx="0">
                  <c:v>2143.84</c:v>
                </c:pt>
                <c:pt idx="1">
                  <c:v>2234.58</c:v>
                </c:pt>
              </c:numCache>
            </c:numRef>
          </c:val>
        </c:ser>
        <c:dLbls>
          <c:showLegendKey val="0"/>
          <c:showVal val="1"/>
          <c:showCatName val="0"/>
          <c:showSerName val="0"/>
          <c:showPercent val="0"/>
          <c:showBubbleSize val="0"/>
        </c:dLbls>
        <c:gapWidth val="219"/>
        <c:overlap val="-27"/>
        <c:axId val="246019190"/>
        <c:axId val="961126307"/>
      </c:barChart>
      <c:catAx>
        <c:axId val="246019190"/>
        <c:scaling>
          <c:orientation val="minMax"/>
        </c:scaling>
        <c:delete val="0"/>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1126307"/>
        <c:crosses val="autoZero"/>
        <c:auto val="1"/>
        <c:lblAlgn val="ctr"/>
        <c:lblOffset val="100"/>
        <c:noMultiLvlLbl val="0"/>
      </c:catAx>
      <c:valAx>
        <c:axId val="96112630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601919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各年度一般公共预算财政拨款支出</a:t>
            </a: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'[米沙子镇中心校图形新.xlsx]5'!$C$3:$D$3</c:f>
              <c:strCache>
                <c:ptCount val="2"/>
                <c:pt idx="0">
                  <c:v>2021年度支出</c:v>
                </c:pt>
                <c:pt idx="1">
                  <c:v>2022年度支出</c:v>
                </c:pt>
              </c:strCache>
            </c:strRef>
          </c:cat>
          <c:val>
            <c:numRef>
              <c:f>'[米沙子镇中心校图形新.xlsx]5'!$C$4:$D$4</c:f>
              <c:numCache>
                <c:formatCode>General</c:formatCode>
                <c:ptCount val="2"/>
                <c:pt idx="0">
                  <c:v>2084.45</c:v>
                </c:pt>
                <c:pt idx="1" c:formatCode="0.00_ ">
                  <c:v>2222.9</c:v>
                </c:pt>
              </c:numCache>
            </c:numRef>
          </c:val>
        </c:ser>
        <c:dLbls>
          <c:showLegendKey val="0"/>
          <c:showVal val="1"/>
          <c:showCatName val="0"/>
          <c:showSerName val="0"/>
          <c:showPercent val="0"/>
          <c:showBubbleSize val="0"/>
        </c:dLbls>
        <c:gapWidth val="219"/>
        <c:overlap val="-27"/>
        <c:axId val="246019190"/>
        <c:axId val="961126307"/>
      </c:barChart>
      <c:catAx>
        <c:axId val="246019190"/>
        <c:scaling>
          <c:orientation val="minMax"/>
        </c:scaling>
        <c:delete val="0"/>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1126307"/>
        <c:crosses val="autoZero"/>
        <c:auto val="1"/>
        <c:lblAlgn val="ctr"/>
        <c:lblOffset val="100"/>
        <c:noMultiLvlLbl val="0"/>
      </c:catAx>
      <c:valAx>
        <c:axId val="96112630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601919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0773263433814"/>
          <c:y val="0.11368909512761"/>
          <c:w val="0.375163826998689"/>
          <c:h val="0.66415313225058"/>
        </c:manualLayout>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0"/>
              <c:layout>
                <c:manualLayout>
                  <c:x val="0.10911213191862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1651.08 </a:t>
                    </a:r>
                    <a:r>
                      <a:rPr altLang="en-US"/>
                      <a:t>，</a:t>
                    </a:r>
                    <a:r>
                      <a:rPr lang="en-US" altLang="zh-CN"/>
                      <a:t>74.3</a:t>
                    </a:r>
                    <a:r>
                      <a:t>%</a:t>
                    </a:r>
                  </a:p>
                </c:rich>
              </c:tx>
              <c:dLblPos val="bestFit"/>
              <c:showLegendKey val="1"/>
              <c:showVal val="1"/>
              <c:showCatName val="0"/>
              <c:showSerName val="0"/>
              <c:showPercent val="1"/>
              <c:showBubbleSize val="0"/>
              <c:extLst>
                <c:ext xmlns:c15="http://schemas.microsoft.com/office/drawing/2012/chart" uri="{CE6537A1-D6FC-4f65-9D91-7224C49458BB}">
                  <c15:layout>
                    <c:manualLayout>
                      <c:w val="0.210339924562807"/>
                      <c:h val="0.0695263264891238"/>
                    </c:manualLayout>
                  </c15:layout>
                </c:ext>
              </c:extLst>
            </c:dLbl>
            <c:dLbl>
              <c:idx val="1"/>
              <c:layout>
                <c:manualLayout>
                  <c:x val="-0.131602312135338"/>
                  <c:y val="0.01412951262933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343.04</a:t>
                    </a:r>
                    <a:r>
                      <a:t>,</a:t>
                    </a:r>
                    <a:r>
                      <a:rPr lang="en-US" altLang="zh-CN"/>
                      <a:t>15.4</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103889782139086"/>
                  <c:y val="0.02416490045063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95.88</a:t>
                    </a:r>
                    <a:r>
                      <a:t>,</a:t>
                    </a:r>
                    <a:r>
                      <a:rPr lang="en-US" altLang="zh-CN"/>
                      <a:t>4.3</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3"/>
              <c:layout>
                <c:manualLayout>
                  <c:x val="0.186861265851572"/>
                  <c:y val="-0.01148082794302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132.9</a:t>
                    </a:r>
                    <a:r>
                      <a:t>, </a:t>
                    </a:r>
                    <a:r>
                      <a:rPr lang="en-US" altLang="zh-CN"/>
                      <a:t>6</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'[米沙子镇中心校图形新.xlsx]6'!$B$1:$B$4</c:f>
              <c:strCache>
                <c:ptCount val="4"/>
                <c:pt idx="0">
                  <c:v>教育支出</c:v>
                </c:pt>
                <c:pt idx="1">
                  <c:v>社会保障和就业类支出</c:v>
                </c:pt>
                <c:pt idx="2">
                  <c:v>卫生健康支出（类）行政事业单位医疗（款） 事业单位医疗（项）</c:v>
                </c:pt>
                <c:pt idx="3">
                  <c:v>住房保障支出（类）住房改革支出（款） 住房公积金（项）</c:v>
                </c:pt>
              </c:strCache>
            </c:strRef>
          </c:cat>
          <c:val>
            <c:numRef>
              <c:f>'[米沙子镇中心校图形新.xlsx]6'!$C$1:$C$4</c:f>
              <c:numCache>
                <c:formatCode>0.00_ </c:formatCode>
                <c:ptCount val="4"/>
                <c:pt idx="0">
                  <c:v>1651.08</c:v>
                </c:pt>
                <c:pt idx="1">
                  <c:v>343.04</c:v>
                </c:pt>
                <c:pt idx="2">
                  <c:v>95.88</c:v>
                </c:pt>
                <c:pt idx="3">
                  <c:v>132.9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5955</Words>
  <Characters>6550</Characters>
  <Lines>47</Lines>
  <Paragraphs>13</Paragraphs>
  <TotalTime>4</TotalTime>
  <ScaleCrop>false</ScaleCrop>
  <LinksUpToDate>false</LinksUpToDate>
  <CharactersWithSpaces>6631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2022-07-26T01:03:00Z</dcterms:created>
  <dc:creator>王志强</dc:creator>
  <cp:lastModifiedBy>Administrator</cp:lastModifiedBy>
  <cp:lastPrinted>2023-11-09T08:53:00Z</cp:lastPrinted>
  <dcterms:modified xsi:type="dcterms:W3CDTF">2023-11-09T09:01:07Z</dcterms:modified>
  <dc:title>2015年度部门决算公开模板</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612A893AE4B242259CA3E7D0C4DA0EF7_13</vt:lpwstr>
  </property>
</Properties>
</file>