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宋体" w:hAnsi="宋体"/>
        </w:rPr>
      </w:pPr>
      <w:r>
        <w:rPr>
          <w:rFonts w:hint="eastAsia" w:ascii="宋体" w:hAnsi="宋体"/>
        </w:rPr>
        <w:t xml:space="preserve">     </w:t>
      </w:r>
    </w:p>
    <w:p>
      <w:pPr>
        <w:ind w:firstLine="480"/>
        <w:rPr>
          <w:rFonts w:ascii="宋体" w:hAnsi="宋体"/>
        </w:rPr>
      </w:pPr>
    </w:p>
    <w:p>
      <w:pPr>
        <w:ind w:firstLine="480"/>
        <w:rPr>
          <w:rFonts w:ascii="宋体" w:hAnsi="宋体"/>
        </w:rPr>
      </w:pPr>
    </w:p>
    <w:p>
      <w:pPr>
        <w:pStyle w:val="22"/>
      </w:pPr>
    </w:p>
    <w:p>
      <w:pPr>
        <w:ind w:firstLine="480"/>
        <w:rPr>
          <w:rFonts w:ascii="宋体" w:hAnsi="宋体"/>
        </w:rPr>
      </w:pPr>
    </w:p>
    <w:p>
      <w:pPr>
        <w:ind w:firstLine="480"/>
        <w:rPr>
          <w:rFonts w:ascii="宋体" w:hAnsi="宋体"/>
        </w:rPr>
      </w:pPr>
    </w:p>
    <w:p>
      <w:pPr>
        <w:ind w:firstLine="480"/>
        <w:rPr>
          <w:rFonts w:ascii="宋体" w:hAnsi="宋体"/>
        </w:rPr>
      </w:pP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德惠市万宝镇超达傢木门加工厂</w:t>
      </w: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年产免漆强化木门4000套项目</w:t>
      </w:r>
    </w:p>
    <w:p>
      <w:pPr>
        <w:jc w:val="center"/>
        <w:rPr>
          <w:rFonts w:ascii="宋体" w:hAnsi="宋体"/>
        </w:rPr>
      </w:pPr>
      <w:r>
        <w:rPr>
          <w:rFonts w:hint="eastAsia" w:ascii="宋体" w:hAnsi="宋体"/>
          <w:b/>
          <w:bCs/>
          <w:sz w:val="44"/>
          <w:szCs w:val="44"/>
        </w:rPr>
        <w:t>竣工环境保护验收监测报告</w:t>
      </w: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pStyle w:val="22"/>
        <w:rPr>
          <w:rFonts w:ascii="宋体" w:hAnsi="宋体"/>
        </w:rPr>
      </w:pPr>
    </w:p>
    <w:p>
      <w:pPr>
        <w:pStyle w:val="22"/>
        <w:rPr>
          <w:rFonts w:ascii="宋体" w:hAnsi="宋体"/>
        </w:rPr>
      </w:pPr>
    </w:p>
    <w:p>
      <w:pPr>
        <w:rPr>
          <w:rFonts w:ascii="宋体" w:hAnsi="宋体"/>
        </w:rPr>
      </w:pPr>
    </w:p>
    <w:p>
      <w:pPr>
        <w:pStyle w:val="30"/>
      </w:pPr>
    </w:p>
    <w:p>
      <w:pPr>
        <w:pStyle w:val="30"/>
      </w:pPr>
    </w:p>
    <w:p>
      <w:pPr>
        <w:rPr>
          <w:rFonts w:ascii="宋体" w:hAnsi="宋体"/>
        </w:rPr>
      </w:pPr>
    </w:p>
    <w:p>
      <w:pPr>
        <w:jc w:val="center"/>
        <w:rPr>
          <w:rFonts w:hint="eastAsia" w:ascii="宋体" w:hAnsi="宋体" w:eastAsia="宋体"/>
          <w:b/>
          <w:bCs/>
          <w:sz w:val="28"/>
          <w:szCs w:val="28"/>
          <w:lang w:val="en-US" w:eastAsia="zh-CN"/>
        </w:rPr>
      </w:pPr>
      <w:r>
        <w:rPr>
          <w:rFonts w:hint="eastAsia" w:ascii="宋体" w:hAnsi="宋体"/>
          <w:b/>
          <w:bCs/>
          <w:sz w:val="28"/>
          <w:szCs w:val="28"/>
          <w:lang w:eastAsia="zh-CN"/>
        </w:rPr>
        <w:t>建设</w:t>
      </w:r>
      <w:r>
        <w:rPr>
          <w:rFonts w:hint="eastAsia" w:ascii="宋体" w:hAnsi="宋体"/>
          <w:b/>
          <w:bCs/>
          <w:sz w:val="28"/>
          <w:szCs w:val="28"/>
        </w:rPr>
        <w:t>单位：德惠市万宝镇超达傢木门加工厂</w:t>
      </w:r>
    </w:p>
    <w:p>
      <w:pPr>
        <w:jc w:val="center"/>
        <w:rPr>
          <w:rFonts w:hint="eastAsia" w:ascii="宋体" w:hAnsi="宋体" w:eastAsia="宋体"/>
          <w:b/>
          <w:bCs/>
          <w:sz w:val="28"/>
          <w:szCs w:val="28"/>
          <w:lang w:eastAsia="zh-CN"/>
        </w:rPr>
      </w:pPr>
      <w:r>
        <w:rPr>
          <w:rFonts w:hint="eastAsia" w:ascii="宋体" w:hAnsi="宋体"/>
          <w:b/>
          <w:bCs/>
          <w:sz w:val="28"/>
          <w:szCs w:val="28"/>
          <w:lang w:eastAsia="zh-CN"/>
        </w:rPr>
        <w:t>编制</w:t>
      </w:r>
      <w:r>
        <w:rPr>
          <w:rFonts w:hint="eastAsia" w:ascii="宋体" w:hAnsi="宋体"/>
          <w:b/>
          <w:bCs/>
          <w:sz w:val="28"/>
          <w:szCs w:val="28"/>
        </w:rPr>
        <w:t>单位：德惠市万宝镇超达傢木门加工厂</w:t>
      </w:r>
    </w:p>
    <w:p>
      <w:pPr>
        <w:ind w:firstLine="4053" w:firstLineChars="1442"/>
        <w:jc w:val="both"/>
        <w:rPr>
          <w:rFonts w:ascii="宋体" w:hAnsi="宋体"/>
          <w:b/>
          <w:bCs/>
          <w:sz w:val="28"/>
          <w:szCs w:val="28"/>
        </w:rPr>
      </w:pPr>
      <w:r>
        <w:rPr>
          <w:rFonts w:hint="eastAsia" w:ascii="宋体" w:hAnsi="宋体"/>
          <w:b/>
          <w:bCs/>
          <w:sz w:val="28"/>
          <w:szCs w:val="28"/>
        </w:rPr>
        <w:t>20</w:t>
      </w:r>
      <w:r>
        <w:rPr>
          <w:rFonts w:hint="eastAsia" w:ascii="宋体" w:hAnsi="宋体"/>
          <w:b/>
          <w:bCs/>
          <w:sz w:val="28"/>
          <w:szCs w:val="28"/>
          <w:lang w:val="en-US" w:eastAsia="zh-CN"/>
        </w:rPr>
        <w:t>21</w:t>
      </w:r>
      <w:r>
        <w:rPr>
          <w:rFonts w:hint="eastAsia" w:ascii="宋体" w:hAnsi="宋体"/>
          <w:b/>
          <w:bCs/>
          <w:sz w:val="28"/>
          <w:szCs w:val="28"/>
        </w:rPr>
        <w:t>年</w:t>
      </w:r>
      <w:r>
        <w:rPr>
          <w:rFonts w:hint="eastAsia" w:ascii="宋体" w:hAnsi="宋体"/>
          <w:b/>
          <w:bCs/>
          <w:sz w:val="28"/>
          <w:szCs w:val="28"/>
          <w:lang w:val="en-US" w:eastAsia="zh-CN"/>
        </w:rPr>
        <w:t>4</w:t>
      </w:r>
      <w:r>
        <w:rPr>
          <w:rFonts w:hint="eastAsia" w:ascii="宋体" w:hAnsi="宋体"/>
          <w:b/>
          <w:bCs/>
          <w:sz w:val="28"/>
          <w:szCs w:val="28"/>
        </w:rPr>
        <w:t>月</w:t>
      </w:r>
    </w:p>
    <w:p>
      <w:pPr>
        <w:ind w:firstLine="720"/>
        <w:jc w:val="center"/>
        <w:rPr>
          <w:rFonts w:ascii="宋体" w:hAnsi="宋体"/>
          <w:sz w:val="36"/>
          <w:szCs w:val="36"/>
        </w:rPr>
      </w:pPr>
    </w:p>
    <w:p>
      <w:pPr>
        <w:jc w:val="left"/>
        <w:rPr>
          <w:rFonts w:hint="eastAsia" w:ascii="宋体" w:hAnsi="宋体"/>
          <w:sz w:val="30"/>
          <w:szCs w:val="30"/>
        </w:rPr>
      </w:pPr>
    </w:p>
    <w:p>
      <w:pPr>
        <w:pStyle w:val="30"/>
        <w:rPr>
          <w:rFonts w:hint="eastAsia"/>
        </w:rPr>
      </w:pPr>
    </w:p>
    <w:p>
      <w:pPr>
        <w:jc w:val="left"/>
        <w:rPr>
          <w:rFonts w:ascii="宋体" w:hAnsi="宋体"/>
          <w:sz w:val="30"/>
          <w:szCs w:val="30"/>
        </w:rPr>
      </w:pPr>
      <w:r>
        <w:rPr>
          <w:rFonts w:hint="eastAsia" w:ascii="宋体" w:hAnsi="宋体"/>
          <w:sz w:val="30"/>
          <w:szCs w:val="30"/>
        </w:rPr>
        <w:t>建设单位法人代表：夏秀峰</w:t>
      </w:r>
      <w:r>
        <w:rPr>
          <w:rFonts w:ascii="宋体" w:hAnsi="宋体"/>
          <w:sz w:val="30"/>
          <w:szCs w:val="30"/>
        </w:rPr>
        <w:t xml:space="preserve">           </w:t>
      </w:r>
    </w:p>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单位法人代表：</w:t>
      </w:r>
      <w:r>
        <w:rPr>
          <w:rFonts w:hint="eastAsia" w:ascii="宋体" w:hAnsi="宋体"/>
          <w:sz w:val="30"/>
          <w:szCs w:val="30"/>
          <w:lang w:eastAsia="zh-CN"/>
        </w:rPr>
        <w:t>郝立爽</w:t>
      </w:r>
      <w:r>
        <w:rPr>
          <w:rFonts w:hint="eastAsia" w:ascii="宋体" w:hAnsi="宋体"/>
          <w:sz w:val="30"/>
          <w:szCs w:val="30"/>
        </w:rPr>
        <w:t xml:space="preserve"> </w:t>
      </w:r>
      <w:r>
        <w:rPr>
          <w:rFonts w:ascii="宋体" w:hAnsi="宋体"/>
          <w:sz w:val="30"/>
          <w:szCs w:val="30"/>
        </w:rPr>
        <w:t xml:space="preserve">           </w:t>
      </w:r>
    </w:p>
    <w:p>
      <w:pPr>
        <w:jc w:val="left"/>
        <w:rPr>
          <w:rFonts w:hint="eastAsia" w:ascii="宋体" w:hAnsi="宋体" w:eastAsia="宋体"/>
          <w:sz w:val="30"/>
          <w:szCs w:val="30"/>
          <w:highlight w:val="yellow"/>
          <w:lang w:eastAsia="zh-CN"/>
        </w:rPr>
      </w:pPr>
      <w:r>
        <w:rPr>
          <w:rFonts w:hint="eastAsia" w:ascii="宋体" w:hAnsi="宋体"/>
          <w:sz w:val="30"/>
          <w:szCs w:val="30"/>
        </w:rPr>
        <w:t xml:space="preserve">项 </w:t>
      </w:r>
      <w:r>
        <w:rPr>
          <w:rFonts w:ascii="宋体" w:hAnsi="宋体"/>
          <w:sz w:val="30"/>
          <w:szCs w:val="30"/>
        </w:rPr>
        <w:t xml:space="preserve"> </w:t>
      </w:r>
      <w:r>
        <w:rPr>
          <w:rFonts w:hint="eastAsia" w:ascii="宋体" w:hAnsi="宋体"/>
          <w:sz w:val="30"/>
          <w:szCs w:val="30"/>
        </w:rPr>
        <w:t xml:space="preserve">目 </w:t>
      </w:r>
      <w:r>
        <w:rPr>
          <w:rFonts w:ascii="宋体" w:hAnsi="宋体"/>
          <w:sz w:val="30"/>
          <w:szCs w:val="30"/>
        </w:rPr>
        <w:t xml:space="preserve"> </w:t>
      </w:r>
      <w:r>
        <w:rPr>
          <w:rFonts w:hint="eastAsia" w:ascii="宋体" w:hAnsi="宋体"/>
          <w:sz w:val="30"/>
          <w:szCs w:val="30"/>
        </w:rPr>
        <w:t>负 责 人：夏秀峰</w:t>
      </w:r>
    </w:p>
    <w:p>
      <w:pPr>
        <w:jc w:val="left"/>
        <w:rPr>
          <w:rFonts w:hint="eastAsia" w:ascii="宋体" w:hAnsi="宋体" w:eastAsia="宋体"/>
          <w:sz w:val="30"/>
          <w:szCs w:val="30"/>
          <w:lang w:eastAsia="zh-CN"/>
        </w:rPr>
      </w:pPr>
      <w:r>
        <w:rPr>
          <w:rFonts w:hint="eastAsia" w:ascii="宋体" w:hAnsi="宋体"/>
          <w:sz w:val="30"/>
          <w:szCs w:val="30"/>
        </w:rPr>
        <w:t xml:space="preserve">填 </w:t>
      </w:r>
      <w:r>
        <w:rPr>
          <w:rFonts w:ascii="宋体" w:hAnsi="宋体"/>
          <w:sz w:val="30"/>
          <w:szCs w:val="30"/>
        </w:rPr>
        <w:t xml:space="preserve">    </w:t>
      </w:r>
      <w:r>
        <w:rPr>
          <w:rFonts w:hint="eastAsia" w:ascii="宋体" w:hAnsi="宋体"/>
          <w:sz w:val="30"/>
          <w:szCs w:val="30"/>
        </w:rPr>
        <w:t xml:space="preserve">表 </w:t>
      </w:r>
      <w:r>
        <w:rPr>
          <w:rFonts w:ascii="宋体" w:hAnsi="宋体"/>
          <w:sz w:val="30"/>
          <w:szCs w:val="30"/>
        </w:rPr>
        <w:t xml:space="preserve">    </w:t>
      </w:r>
      <w:r>
        <w:rPr>
          <w:rFonts w:hint="eastAsia" w:ascii="宋体" w:hAnsi="宋体"/>
          <w:sz w:val="30"/>
          <w:szCs w:val="30"/>
        </w:rPr>
        <w:t>人：夏秀峰</w:t>
      </w:r>
    </w:p>
    <w:p>
      <w:pPr>
        <w:ind w:firstLine="640"/>
        <w:jc w:val="left"/>
        <w:rPr>
          <w:rFonts w:ascii="宋体" w:hAnsi="宋体"/>
          <w:color w:val="FF0000"/>
          <w:sz w:val="30"/>
          <w:szCs w:val="30"/>
        </w:rPr>
      </w:pPr>
    </w:p>
    <w:p>
      <w:pPr>
        <w:ind w:firstLine="640"/>
        <w:jc w:val="left"/>
        <w:rPr>
          <w:rFonts w:ascii="宋体" w:hAnsi="宋体"/>
          <w:sz w:val="30"/>
          <w:szCs w:val="30"/>
        </w:rPr>
      </w:pPr>
    </w:p>
    <w:p>
      <w:pPr>
        <w:ind w:firstLine="640"/>
        <w:jc w:val="left"/>
        <w:rPr>
          <w:rFonts w:ascii="宋体" w:hAnsi="宋体"/>
          <w:sz w:val="30"/>
          <w:szCs w:val="30"/>
        </w:rPr>
      </w:pPr>
    </w:p>
    <w:p>
      <w:pPr>
        <w:pStyle w:val="22"/>
        <w:rPr>
          <w:rFonts w:ascii="宋体" w:hAnsi="宋体"/>
          <w:sz w:val="30"/>
          <w:szCs w:val="30"/>
        </w:rPr>
      </w:pPr>
    </w:p>
    <w:p>
      <w:pPr>
        <w:rPr>
          <w:rFonts w:ascii="宋体" w:hAnsi="宋体"/>
          <w:sz w:val="30"/>
          <w:szCs w:val="30"/>
        </w:rPr>
      </w:pPr>
    </w:p>
    <w:p>
      <w:pPr>
        <w:pStyle w:val="22"/>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tbl>
      <w:tblPr>
        <w:tblStyle w:val="2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6"/>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eastAsia" w:ascii="宋体" w:hAnsi="宋体" w:eastAsia="宋体"/>
                <w:sz w:val="30"/>
                <w:szCs w:val="30"/>
                <w:lang w:eastAsia="zh-CN"/>
              </w:rPr>
            </w:pPr>
            <w:r>
              <w:rPr>
                <w:rFonts w:hint="eastAsia" w:ascii="宋体" w:hAnsi="宋体"/>
                <w:sz w:val="30"/>
                <w:szCs w:val="30"/>
              </w:rPr>
              <w:t>建设单位：德惠市万宝镇超达傢木门加工厂</w:t>
            </w:r>
          </w:p>
        </w:tc>
        <w:tc>
          <w:tcPr>
            <w:tcW w:w="4820" w:type="dxa"/>
          </w:tcPr>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w:t>
            </w:r>
            <w:r>
              <w:rPr>
                <w:rFonts w:hint="eastAsia" w:ascii="宋体" w:hAnsi="宋体"/>
                <w:sz w:val="30"/>
                <w:szCs w:val="30"/>
                <w:lang w:eastAsia="zh-CN"/>
              </w:rPr>
              <w:t>吉林省世翔环境科技有限公司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电话：18943021666</w:t>
            </w:r>
          </w:p>
        </w:tc>
        <w:tc>
          <w:tcPr>
            <w:tcW w:w="4820" w:type="dxa"/>
          </w:tcPr>
          <w:p>
            <w:pPr>
              <w:jc w:val="left"/>
              <w:rPr>
                <w:rFonts w:hint="default" w:ascii="宋体" w:hAnsi="宋体" w:eastAsia="宋体"/>
                <w:sz w:val="30"/>
                <w:szCs w:val="30"/>
                <w:lang w:val="en-US" w:eastAsia="zh-CN"/>
              </w:rPr>
            </w:pPr>
            <w:r>
              <w:rPr>
                <w:rFonts w:hint="eastAsia" w:ascii="宋体" w:hAnsi="宋体"/>
                <w:sz w:val="30"/>
                <w:szCs w:val="30"/>
              </w:rPr>
              <w:t>电话：</w:t>
            </w:r>
            <w:r>
              <w:rPr>
                <w:rFonts w:hint="eastAsia" w:ascii="宋体" w:hAnsi="宋体"/>
                <w:sz w:val="30"/>
                <w:szCs w:val="30"/>
                <w:lang w:val="en-US" w:eastAsia="zh-CN"/>
              </w:rPr>
              <w:t>0431-81907440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ascii="宋体" w:hAnsi="宋体"/>
                <w:sz w:val="30"/>
                <w:szCs w:val="30"/>
              </w:rPr>
            </w:pPr>
            <w:r>
              <w:rPr>
                <w:rFonts w:hint="eastAsia" w:ascii="宋体" w:hAnsi="宋体"/>
                <w:sz w:val="30"/>
                <w:szCs w:val="30"/>
              </w:rPr>
              <w:t>传真：--</w:t>
            </w:r>
          </w:p>
        </w:tc>
        <w:tc>
          <w:tcPr>
            <w:tcW w:w="4820" w:type="dxa"/>
          </w:tcPr>
          <w:p>
            <w:pPr>
              <w:jc w:val="left"/>
              <w:rPr>
                <w:rFonts w:ascii="宋体" w:hAnsi="宋体"/>
                <w:sz w:val="30"/>
                <w:szCs w:val="30"/>
              </w:rPr>
            </w:pPr>
            <w:r>
              <w:rPr>
                <w:rFonts w:hint="eastAsia" w:ascii="宋体" w:hAnsi="宋体"/>
                <w:sz w:val="30"/>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邮编：13</w:t>
            </w:r>
            <w:r>
              <w:rPr>
                <w:rFonts w:hint="eastAsia" w:ascii="宋体" w:hAnsi="宋体"/>
                <w:sz w:val="30"/>
                <w:szCs w:val="30"/>
                <w:lang w:val="en-US" w:eastAsia="zh-CN"/>
              </w:rPr>
              <w:t>0300</w:t>
            </w:r>
          </w:p>
        </w:tc>
        <w:tc>
          <w:tcPr>
            <w:tcW w:w="4820" w:type="dxa"/>
          </w:tcPr>
          <w:p>
            <w:pPr>
              <w:jc w:val="left"/>
              <w:rPr>
                <w:rFonts w:hint="default" w:ascii="宋体" w:hAnsi="宋体" w:eastAsia="宋体"/>
                <w:sz w:val="30"/>
                <w:szCs w:val="30"/>
                <w:lang w:val="en-US" w:eastAsia="zh-CN"/>
              </w:rPr>
            </w:pPr>
            <w:r>
              <w:rPr>
                <w:rFonts w:hint="eastAsia" w:ascii="宋体" w:hAnsi="宋体"/>
                <w:sz w:val="30"/>
                <w:szCs w:val="30"/>
              </w:rPr>
              <w:t>邮编：</w:t>
            </w:r>
            <w:r>
              <w:rPr>
                <w:rFonts w:hint="eastAsia" w:ascii="宋体" w:hAnsi="宋体"/>
                <w:sz w:val="30"/>
                <w:szCs w:val="30"/>
                <w:lang w:val="en-US" w:eastAsia="zh-CN"/>
              </w:rPr>
              <w:t>130000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地址：德惠市万宝镇大王家村十社</w:t>
            </w:r>
          </w:p>
        </w:tc>
        <w:tc>
          <w:tcPr>
            <w:tcW w:w="4820" w:type="dxa"/>
          </w:tcPr>
          <w:p>
            <w:pPr>
              <w:jc w:val="left"/>
              <w:rPr>
                <w:rFonts w:ascii="宋体" w:hAnsi="宋体"/>
                <w:sz w:val="30"/>
                <w:szCs w:val="30"/>
              </w:rPr>
            </w:pPr>
            <w:r>
              <w:rPr>
                <w:rFonts w:hint="eastAsia" w:ascii="宋体" w:hAnsi="宋体"/>
                <w:sz w:val="30"/>
                <w:szCs w:val="30"/>
              </w:rPr>
              <w:t>地址：长春市高新开发区北湖科技开发区盛北大街3333号北湖科技园产业二期E13栋201、301</w:t>
            </w:r>
          </w:p>
        </w:tc>
      </w:tr>
    </w:tbl>
    <w:p>
      <w:pPr>
        <w:ind w:firstLine="480"/>
        <w:rPr>
          <w:rFonts w:ascii="宋体" w:hAnsi="宋体"/>
        </w:rPr>
      </w:pPr>
    </w:p>
    <w:p>
      <w:pPr>
        <w:ind w:firstLine="480"/>
        <w:rPr>
          <w:rFonts w:ascii="宋体" w:hAnsi="宋体"/>
        </w:rPr>
        <w:sectPr>
          <w:headerReference r:id="rId4" w:type="first"/>
          <w:footerReference r:id="rId5" w:type="first"/>
          <w:head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spacing w:before="0" w:after="0" w:line="240" w:lineRule="auto"/>
        <w:ind w:firstLine="602"/>
        <w:rPr>
          <w:rFonts w:ascii="宋体" w:hAnsi="宋体" w:eastAsia="宋体"/>
          <w:sz w:val="24"/>
        </w:rPr>
      </w:pPr>
      <w:r>
        <w:rPr>
          <w:rFonts w:hint="eastAsia" w:ascii="宋体" w:hAnsi="宋体" w:eastAsia="宋体"/>
          <w:sz w:val="24"/>
        </w:rPr>
        <w:t>表一</w:t>
      </w:r>
    </w:p>
    <w:tbl>
      <w:tblPr>
        <w:tblStyle w:val="27"/>
        <w:tblW w:w="9356"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18"/>
        <w:gridCol w:w="992"/>
        <w:gridCol w:w="1559"/>
        <w:gridCol w:w="709"/>
        <w:gridCol w:w="1559"/>
        <w:gridCol w:w="851"/>
        <w:gridCol w:w="425"/>
        <w:gridCol w:w="850"/>
        <w:gridCol w:w="9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建设项目名称</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德惠市万宝镇超达傢木门加工厂年产免漆强化木门4000套项目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建设单位名称</w:t>
            </w:r>
          </w:p>
        </w:tc>
        <w:tc>
          <w:tcPr>
            <w:tcW w:w="6946" w:type="dxa"/>
            <w:gridSpan w:val="7"/>
          </w:tcPr>
          <w:p>
            <w:pPr>
              <w:spacing w:line="360" w:lineRule="auto"/>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val="en-US" w:eastAsia="zh-CN"/>
              </w:rPr>
              <w:t>德惠市万宝镇超达傢木门加工厂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建设项目性质</w:t>
            </w:r>
          </w:p>
        </w:tc>
        <w:tc>
          <w:tcPr>
            <w:tcW w:w="6946" w:type="dxa"/>
            <w:gridSpan w:val="7"/>
          </w:tcPr>
          <w:p>
            <w:pPr>
              <w:spacing w:line="360" w:lineRule="auto"/>
              <w:jc w:val="center"/>
              <w:rPr>
                <w:rFonts w:hint="default" w:ascii="Times New Roman" w:hAnsi="Times New Roman" w:cs="Times New Roman"/>
              </w:rPr>
            </w:pPr>
            <w:r>
              <w:rPr>
                <w:rFonts w:hint="default" w:ascii="Times New Roman" w:hAnsi="Times New Roman" w:cs="Times New Roman"/>
                <w:sz w:val="24"/>
              </w:rPr>
              <w:t>新建（√） 改扩建 技改 迁建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建设地点</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德惠市万宝镇大王家村十社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本项目</w:t>
            </w:r>
            <w:r>
              <w:rPr>
                <w:rFonts w:hint="eastAsia" w:cs="Times New Roman"/>
                <w:sz w:val="24"/>
                <w:lang w:val="en-US" w:eastAsia="zh-CN"/>
              </w:rPr>
              <w:t>主要从事家具制造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年产免漆强化木门4000套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6946" w:type="dxa"/>
            <w:gridSpan w:val="7"/>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年产免漆强化木门4000套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trPr>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建设项目环评时间</w:t>
            </w:r>
          </w:p>
        </w:tc>
        <w:tc>
          <w:tcPr>
            <w:tcW w:w="2268" w:type="dxa"/>
            <w:gridSpan w:val="2"/>
          </w:tcPr>
          <w:p>
            <w:pPr>
              <w:spacing w:line="360" w:lineRule="auto"/>
              <w:jc w:val="center"/>
              <w:rPr>
                <w:rFonts w:hint="default" w:ascii="Times New Roman" w:hAnsi="Times New Roman" w:cs="Times New Roman"/>
                <w:color w:val="0000FF"/>
                <w:sz w:val="24"/>
              </w:rPr>
            </w:pPr>
            <w:r>
              <w:rPr>
                <w:rFonts w:hint="default" w:ascii="Times New Roman" w:hAnsi="Times New Roman" w:cs="Times New Roman"/>
                <w:color w:val="auto"/>
                <w:sz w:val="24"/>
              </w:rPr>
              <w:t>201</w:t>
            </w:r>
            <w:r>
              <w:rPr>
                <w:rFonts w:hint="eastAsia" w:cs="Times New Roman"/>
                <w:color w:val="auto"/>
                <w:sz w:val="24"/>
                <w:lang w:val="en-US" w:eastAsia="zh-CN"/>
              </w:rPr>
              <w:t>8</w:t>
            </w:r>
            <w:r>
              <w:rPr>
                <w:rFonts w:hint="default" w:ascii="Times New Roman" w:hAnsi="Times New Roman" w:cs="Times New Roman"/>
                <w:color w:val="auto"/>
                <w:sz w:val="24"/>
              </w:rPr>
              <w:t>年</w:t>
            </w:r>
            <w:r>
              <w:rPr>
                <w:rFonts w:hint="eastAsia" w:cs="Times New Roman"/>
                <w:color w:val="auto"/>
                <w:sz w:val="24"/>
                <w:lang w:val="en-US" w:eastAsia="zh-CN"/>
              </w:rPr>
              <w:t>11</w:t>
            </w:r>
            <w:r>
              <w:rPr>
                <w:rFonts w:hint="default" w:ascii="Times New Roman" w:hAnsi="Times New Roman" w:cs="Times New Roman"/>
                <w:color w:val="auto"/>
                <w:sz w:val="24"/>
              </w:rPr>
              <w:t>月</w:t>
            </w:r>
          </w:p>
        </w:tc>
        <w:tc>
          <w:tcPr>
            <w:tcW w:w="2410" w:type="dxa"/>
            <w:gridSpan w:val="2"/>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开工建设时间</w:t>
            </w:r>
          </w:p>
        </w:tc>
        <w:tc>
          <w:tcPr>
            <w:tcW w:w="2268" w:type="dxa"/>
            <w:gridSpan w:val="3"/>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eastAsia" w:cs="Times New Roman"/>
                <w:color w:val="auto"/>
                <w:sz w:val="24"/>
                <w:lang w:val="en-US" w:eastAsia="zh-CN"/>
              </w:rPr>
              <w:t>19</w:t>
            </w:r>
            <w:r>
              <w:rPr>
                <w:rFonts w:hint="default" w:ascii="Times New Roman" w:hAnsi="Times New Roman" w:cs="Times New Roman"/>
                <w:color w:val="auto"/>
                <w:sz w:val="24"/>
              </w:rPr>
              <w:t>年</w:t>
            </w:r>
            <w:r>
              <w:rPr>
                <w:rFonts w:hint="eastAsia" w:cs="Times New Roman"/>
                <w:color w:val="auto"/>
                <w:sz w:val="24"/>
                <w:lang w:val="en-US" w:eastAsia="zh-CN"/>
              </w:rPr>
              <w:t>03</w:t>
            </w:r>
            <w:r>
              <w:rPr>
                <w:rFonts w:hint="default" w:ascii="Times New Roman" w:hAnsi="Times New Roman" w:cs="Times New Roman"/>
                <w:color w:val="auto"/>
                <w:sz w:val="24"/>
              </w:rPr>
              <w:t>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480" w:lineRule="auto"/>
              <w:jc w:val="center"/>
              <w:rPr>
                <w:rFonts w:hint="default" w:ascii="Times New Roman" w:hAnsi="Times New Roman" w:cs="Times New Roman"/>
                <w:sz w:val="24"/>
              </w:rPr>
            </w:pPr>
            <w:r>
              <w:rPr>
                <w:rFonts w:hint="default" w:ascii="Times New Roman" w:hAnsi="Times New Roman" w:cs="Times New Roman"/>
                <w:sz w:val="24"/>
              </w:rPr>
              <w:t>调试时间</w:t>
            </w:r>
          </w:p>
        </w:tc>
        <w:tc>
          <w:tcPr>
            <w:tcW w:w="2268" w:type="dxa"/>
            <w:gridSpan w:val="2"/>
          </w:tcPr>
          <w:p>
            <w:pPr>
              <w:spacing w:line="480" w:lineRule="auto"/>
              <w:jc w:val="center"/>
              <w:rPr>
                <w:rFonts w:hint="default" w:ascii="Times New Roman" w:hAnsi="Times New Roman" w:cs="Times New Roman"/>
                <w:color w:val="0000FF"/>
                <w:sz w:val="24"/>
              </w:rPr>
            </w:pPr>
            <w:r>
              <w:rPr>
                <w:rFonts w:hint="default" w:ascii="Times New Roman" w:hAnsi="Times New Roman" w:cs="Times New Roman"/>
                <w:color w:val="auto"/>
                <w:sz w:val="24"/>
              </w:rPr>
              <w:t>2</w:t>
            </w:r>
            <w:r>
              <w:rPr>
                <w:rFonts w:hint="eastAsia" w:cs="Times New Roman"/>
                <w:color w:val="auto"/>
                <w:sz w:val="24"/>
                <w:lang w:val="en-US" w:eastAsia="zh-CN"/>
              </w:rPr>
              <w:t>021</w:t>
            </w:r>
            <w:r>
              <w:rPr>
                <w:rFonts w:hint="default" w:ascii="Times New Roman" w:hAnsi="Times New Roman" w:cs="Times New Roman"/>
                <w:color w:val="auto"/>
                <w:sz w:val="24"/>
              </w:rPr>
              <w:t>年</w:t>
            </w:r>
            <w:r>
              <w:rPr>
                <w:rFonts w:hint="eastAsia" w:cs="Times New Roman"/>
                <w:color w:val="auto"/>
                <w:sz w:val="24"/>
                <w:lang w:val="en-US" w:eastAsia="zh-CN"/>
              </w:rPr>
              <w:t>04</w:t>
            </w:r>
            <w:r>
              <w:rPr>
                <w:rFonts w:hint="default" w:ascii="Times New Roman" w:hAnsi="Times New Roman" w:cs="Times New Roman"/>
                <w:color w:val="auto"/>
                <w:sz w:val="24"/>
              </w:rPr>
              <w:t>月</w:t>
            </w:r>
          </w:p>
        </w:tc>
        <w:tc>
          <w:tcPr>
            <w:tcW w:w="2410" w:type="dxa"/>
            <w:gridSpan w:val="2"/>
          </w:tcPr>
          <w:p>
            <w:pPr>
              <w:spacing w:line="48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验收现场监测时间</w:t>
            </w:r>
          </w:p>
        </w:tc>
        <w:tc>
          <w:tcPr>
            <w:tcW w:w="2268" w:type="dxa"/>
            <w:gridSpan w:val="3"/>
          </w:tcPr>
          <w:p>
            <w:pPr>
              <w:spacing w:line="24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eastAsia" w:cs="Times New Roman"/>
                <w:color w:val="auto"/>
                <w:sz w:val="24"/>
                <w:lang w:val="en-US" w:eastAsia="zh-CN"/>
              </w:rPr>
              <w:t>21</w:t>
            </w:r>
            <w:r>
              <w:rPr>
                <w:rFonts w:hint="default" w:ascii="Times New Roman" w:hAnsi="Times New Roman" w:cs="Times New Roman"/>
                <w:color w:val="auto"/>
                <w:sz w:val="24"/>
              </w:rPr>
              <w:t>年</w:t>
            </w:r>
            <w:r>
              <w:rPr>
                <w:rFonts w:hint="eastAsia"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19</w:t>
            </w:r>
            <w:r>
              <w:rPr>
                <w:rFonts w:hint="default" w:ascii="Times New Roman" w:hAnsi="Times New Roman" w:cs="Times New Roman"/>
                <w:color w:val="auto"/>
                <w:sz w:val="24"/>
              </w:rPr>
              <w:t>日-</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20</w:t>
            </w:r>
            <w:r>
              <w:rPr>
                <w:rFonts w:hint="default" w:ascii="Times New Roman" w:hAnsi="Times New Roman" w:cs="Times New Roman"/>
                <w:color w:val="auto"/>
                <w:sz w:val="24"/>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环评报告表审批部门</w:t>
            </w:r>
          </w:p>
        </w:tc>
        <w:tc>
          <w:tcPr>
            <w:tcW w:w="2268" w:type="dxa"/>
            <w:gridSpan w:val="2"/>
          </w:tcPr>
          <w:p>
            <w:pPr>
              <w:spacing w:line="360" w:lineRule="auto"/>
              <w:jc w:val="center"/>
              <w:rPr>
                <w:rFonts w:hint="default" w:ascii="Times New Roman" w:hAnsi="Times New Roman" w:eastAsia="宋体" w:cs="Times New Roman"/>
                <w:sz w:val="24"/>
                <w:lang w:eastAsia="zh-CN"/>
              </w:rPr>
            </w:pPr>
            <w:r>
              <w:rPr>
                <w:rFonts w:hint="eastAsia" w:cs="Times New Roman"/>
                <w:sz w:val="24"/>
                <w:lang w:eastAsia="zh-CN"/>
              </w:rPr>
              <w:t>长春市生态环境局德惠市分局</w:t>
            </w:r>
          </w:p>
        </w:tc>
        <w:tc>
          <w:tcPr>
            <w:tcW w:w="2410" w:type="dxa"/>
            <w:gridSpan w:val="2"/>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环评报告表编制单位</w:t>
            </w:r>
          </w:p>
        </w:tc>
        <w:tc>
          <w:tcPr>
            <w:tcW w:w="2268" w:type="dxa"/>
            <w:gridSpan w:val="3"/>
          </w:tcPr>
          <w:p>
            <w:pPr>
              <w:spacing w:line="360" w:lineRule="auto"/>
              <w:jc w:val="center"/>
              <w:rPr>
                <w:rFonts w:hint="eastAsia" w:ascii="Times New Roman" w:hAnsi="Times New Roman" w:eastAsia="宋体" w:cs="Times New Roman"/>
                <w:sz w:val="24"/>
                <w:lang w:val="en-US" w:eastAsia="zh-CN"/>
              </w:rPr>
            </w:pPr>
            <w:r>
              <w:rPr>
                <w:rFonts w:hint="eastAsia" w:ascii="宋体" w:hAnsi="宋体"/>
                <w:sz w:val="24"/>
                <w:szCs w:val="24"/>
              </w:rPr>
              <w:t>吉林省广信工程技术咨询有限公司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投资总概算</w:t>
            </w:r>
          </w:p>
        </w:tc>
        <w:tc>
          <w:tcPr>
            <w:tcW w:w="1559" w:type="dxa"/>
          </w:tcPr>
          <w:p>
            <w:pPr>
              <w:spacing w:line="360" w:lineRule="auto"/>
              <w:jc w:val="center"/>
              <w:rPr>
                <w:rFonts w:hint="default" w:ascii="Times New Roman" w:hAnsi="Times New Roman" w:cs="Times New Roman"/>
                <w:sz w:val="24"/>
              </w:rPr>
            </w:pPr>
            <w:r>
              <w:rPr>
                <w:rFonts w:hint="eastAsia" w:cs="Times New Roman"/>
                <w:sz w:val="24"/>
                <w:lang w:val="en-US" w:eastAsia="zh-CN"/>
              </w:rPr>
              <w:t>100</w:t>
            </w:r>
            <w:r>
              <w:rPr>
                <w:rFonts w:hint="default" w:ascii="Times New Roman" w:hAnsi="Times New Roman" w:cs="Times New Roman"/>
                <w:sz w:val="24"/>
              </w:rPr>
              <w:t>万元</w:t>
            </w:r>
          </w:p>
        </w:tc>
        <w:tc>
          <w:tcPr>
            <w:tcW w:w="2268"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环保投资总概算</w:t>
            </w:r>
          </w:p>
        </w:tc>
        <w:tc>
          <w:tcPr>
            <w:tcW w:w="1276" w:type="dxa"/>
            <w:gridSpan w:val="2"/>
          </w:tcPr>
          <w:p>
            <w:pPr>
              <w:spacing w:line="360" w:lineRule="auto"/>
              <w:jc w:val="center"/>
              <w:rPr>
                <w:rFonts w:hint="default" w:ascii="Times New Roman" w:hAnsi="Times New Roman" w:cs="Times New Roman"/>
                <w:sz w:val="24"/>
              </w:rPr>
            </w:pPr>
            <w:r>
              <w:rPr>
                <w:rFonts w:hint="eastAsia" w:cs="Times New Roman"/>
                <w:sz w:val="24"/>
                <w:lang w:val="en-US" w:eastAsia="zh-CN"/>
              </w:rPr>
              <w:t>13</w:t>
            </w:r>
            <w:r>
              <w:rPr>
                <w:rFonts w:hint="default" w:ascii="Times New Roman" w:hAnsi="Times New Roman" w:cs="Times New Roman"/>
                <w:sz w:val="24"/>
              </w:rPr>
              <w:t>万元</w:t>
            </w:r>
          </w:p>
        </w:tc>
        <w:tc>
          <w:tcPr>
            <w:tcW w:w="850" w:type="dxa"/>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tcPr>
          <w:p>
            <w:pPr>
              <w:spacing w:line="360" w:lineRule="auto"/>
              <w:jc w:val="center"/>
              <w:rPr>
                <w:rFonts w:hint="default" w:ascii="Times New Roman" w:hAnsi="Times New Roman" w:cs="Times New Roman"/>
                <w:sz w:val="24"/>
              </w:rPr>
            </w:pPr>
            <w:r>
              <w:rPr>
                <w:rFonts w:hint="eastAsia" w:cs="Times New Roman"/>
                <w:sz w:val="24"/>
                <w:lang w:val="en-US" w:eastAsia="zh-CN"/>
              </w:rPr>
              <w:t>13</w:t>
            </w:r>
            <w:r>
              <w:rPr>
                <w:rFonts w:hint="default" w:ascii="Times New Roman" w:hAnsi="Times New Roman" w:cs="Times New Roman"/>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实际总投资</w:t>
            </w:r>
          </w:p>
        </w:tc>
        <w:tc>
          <w:tcPr>
            <w:tcW w:w="1559" w:type="dxa"/>
          </w:tcPr>
          <w:p>
            <w:pPr>
              <w:spacing w:line="360" w:lineRule="auto"/>
              <w:jc w:val="center"/>
              <w:rPr>
                <w:rFonts w:hint="default" w:ascii="Times New Roman" w:hAnsi="Times New Roman" w:cs="Times New Roman"/>
                <w:sz w:val="24"/>
              </w:rPr>
            </w:pPr>
            <w:r>
              <w:rPr>
                <w:rFonts w:hint="eastAsia" w:cs="Times New Roman"/>
                <w:sz w:val="24"/>
                <w:lang w:val="en-US" w:eastAsia="zh-CN"/>
              </w:rPr>
              <w:t>100</w:t>
            </w:r>
            <w:r>
              <w:rPr>
                <w:rFonts w:hint="default" w:ascii="Times New Roman" w:hAnsi="Times New Roman" w:cs="Times New Roman"/>
                <w:sz w:val="24"/>
              </w:rPr>
              <w:t>万元</w:t>
            </w:r>
          </w:p>
        </w:tc>
        <w:tc>
          <w:tcPr>
            <w:tcW w:w="2268"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实际环保总投资</w:t>
            </w:r>
          </w:p>
        </w:tc>
        <w:tc>
          <w:tcPr>
            <w:tcW w:w="1276" w:type="dxa"/>
            <w:gridSpan w:val="2"/>
          </w:tcPr>
          <w:p>
            <w:pPr>
              <w:spacing w:line="360" w:lineRule="auto"/>
              <w:jc w:val="center"/>
              <w:rPr>
                <w:rFonts w:hint="default" w:ascii="Times New Roman" w:hAnsi="Times New Roman" w:cs="Times New Roman"/>
                <w:sz w:val="24"/>
              </w:rPr>
            </w:pPr>
            <w:r>
              <w:rPr>
                <w:rFonts w:hint="eastAsia" w:cs="Times New Roman"/>
                <w:sz w:val="24"/>
                <w:lang w:val="en-US" w:eastAsia="zh-CN"/>
              </w:rPr>
              <w:t>10</w:t>
            </w:r>
            <w:r>
              <w:rPr>
                <w:rFonts w:hint="default" w:ascii="Times New Roman" w:hAnsi="Times New Roman" w:cs="Times New Roman"/>
                <w:sz w:val="24"/>
              </w:rPr>
              <w:t>万元</w:t>
            </w:r>
          </w:p>
        </w:tc>
        <w:tc>
          <w:tcPr>
            <w:tcW w:w="850" w:type="dxa"/>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tcPr>
          <w:p>
            <w:pPr>
              <w:spacing w:line="360" w:lineRule="auto"/>
              <w:jc w:val="center"/>
              <w:rPr>
                <w:rFonts w:hint="default" w:ascii="Times New Roman" w:hAnsi="Times New Roman" w:cs="Times New Roman"/>
                <w:sz w:val="24"/>
              </w:rPr>
            </w:pPr>
            <w:r>
              <w:rPr>
                <w:rFonts w:hint="eastAsia" w:cs="Times New Roman"/>
                <w:sz w:val="24"/>
                <w:lang w:val="en-US" w:eastAsia="zh-CN"/>
              </w:rPr>
              <w:t>10</w:t>
            </w:r>
            <w:r>
              <w:rPr>
                <w:rFonts w:hint="default" w:ascii="Times New Roman" w:hAnsi="Times New Roman" w:cs="Times New Roman"/>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14" w:hRule="atLeast"/>
        </w:trPr>
        <w:tc>
          <w:tcPr>
            <w:tcW w:w="1418" w:type="dxa"/>
          </w:tcPr>
          <w:p>
            <w:pPr>
              <w:spacing w:line="360" w:lineRule="auto"/>
              <w:rPr>
                <w:rFonts w:ascii="宋体" w:hAnsi="宋体"/>
                <w:sz w:val="24"/>
              </w:rPr>
            </w:pPr>
          </w:p>
          <w:p>
            <w:pPr>
              <w:spacing w:line="360" w:lineRule="auto"/>
              <w:rPr>
                <w:rFonts w:ascii="宋体" w:hAnsi="宋体"/>
                <w:sz w:val="24"/>
              </w:rPr>
            </w:pPr>
            <w:r>
              <w:rPr>
                <w:rFonts w:hint="eastAsia" w:ascii="宋体" w:hAnsi="宋体"/>
                <w:sz w:val="24"/>
              </w:rPr>
              <w:t>验收监测依据</w:t>
            </w:r>
          </w:p>
        </w:tc>
        <w:tc>
          <w:tcPr>
            <w:tcW w:w="7938" w:type="dxa"/>
            <w:gridSpan w:val="8"/>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《中华人民共和国环境保护法》（2015.1.1）；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2、《建设项目环境保护管理条例》（国务院令第682号）；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3、《建设项目竣工环境保护验收暂行办法》（国环规环评</w:t>
            </w:r>
            <w:r>
              <w:rPr>
                <w:rFonts w:hint="eastAsia" w:cs="Times New Roman"/>
                <w:sz w:val="24"/>
                <w:szCs w:val="24"/>
                <w:lang w:eastAsia="zh-CN"/>
              </w:rPr>
              <w:t>【</w:t>
            </w:r>
            <w:r>
              <w:rPr>
                <w:rFonts w:hint="eastAsia" w:cs="Times New Roman"/>
                <w:sz w:val="24"/>
                <w:szCs w:val="24"/>
                <w:lang w:val="en-US" w:eastAsia="zh-CN"/>
              </w:rPr>
              <w:t>2017】</w:t>
            </w:r>
            <w:r>
              <w:rPr>
                <w:rFonts w:hint="default" w:ascii="Times New Roman" w:hAnsi="Times New Roman" w:eastAsia="宋体" w:cs="Times New Roman"/>
                <w:sz w:val="24"/>
                <w:szCs w:val="24"/>
              </w:rPr>
              <w:t>4号）；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4、《建设项目竣工环境保护验收技术指南 污染影响类》（生态环境部公告第9号）；</w:t>
            </w:r>
          </w:p>
          <w:p>
            <w:pPr>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5、《吉林省落实大气污染防治行动计划实施细则》(吉政发(2013)31号文；</w:t>
            </w:r>
            <w:r>
              <w:rPr>
                <w:rFonts w:hint="default" w:ascii="Times New Roman" w:hAnsi="Times New Roman" w:eastAsia="宋体" w:cs="Times New Roman"/>
                <w:sz w:val="24"/>
                <w:szCs w:val="24"/>
                <w:lang w:val="en-US" w:eastAsia="zh-CN"/>
              </w:rPr>
              <w:br w:type="textWrapping"/>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、《中华人民共和国环境噪声污染防治法》（1997.3.1）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7、《中华人民共和国水污染防治法》（2018.1.1）；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8、《中华人民共和国大气污染防治法》（2016.1.1）；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9、《中华人民共和国固体废物污染环境防治法》（2016.11.7）；</w:t>
            </w:r>
          </w:p>
          <w:p>
            <w:pPr>
              <w:adjustRightInd w:val="0"/>
              <w:snapToGrid w:val="0"/>
              <w:spacing w:line="360" w:lineRule="auto"/>
              <w:rPr>
                <w:rFonts w:hint="default" w:ascii="Times New Roman" w:hAnsi="Times New Roman" w:eastAsia="宋体" w:cs="Times New Roman"/>
                <w:color w:val="auto"/>
                <w:sz w:val="24"/>
                <w:szCs w:val="24"/>
              </w:rPr>
            </w:pPr>
            <w:r>
              <w:rPr>
                <w:rFonts w:hint="eastAsia" w:cs="Times New Roman"/>
                <w:sz w:val="24"/>
                <w:szCs w:val="24"/>
                <w:lang w:val="en-US" w:eastAsia="zh-CN"/>
              </w:rPr>
              <w:t>10、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lang w:val="en-US" w:eastAsia="zh-CN"/>
              </w:rPr>
              <w:t>德惠市万宝镇超达傢木门加工厂</w:t>
            </w:r>
            <w:r>
              <w:rPr>
                <w:rFonts w:hint="default" w:ascii="Times New Roman" w:hAnsi="Times New Roman" w:eastAsia="宋体" w:cs="Times New Roman"/>
                <w:sz w:val="24"/>
                <w:szCs w:val="24"/>
                <w:lang w:val="en-US" w:eastAsia="zh-CN"/>
              </w:rPr>
              <w:t>年产免漆强化木门4000套项目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sz w:val="24"/>
                <w:szCs w:val="24"/>
              </w:rPr>
              <w:t>》（</w:t>
            </w:r>
            <w:r>
              <w:rPr>
                <w:rFonts w:hint="eastAsia" w:ascii="宋体" w:hAnsi="宋体"/>
                <w:sz w:val="24"/>
                <w:szCs w:val="24"/>
              </w:rPr>
              <w:t>吉林省广信工程技术咨询有限公司</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20</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月）；</w:t>
            </w:r>
          </w:p>
          <w:p>
            <w:pPr>
              <w:spacing w:line="360" w:lineRule="auto"/>
              <w:rPr>
                <w:rFonts w:ascii="宋体" w:hAnsi="宋体"/>
                <w:sz w:val="24"/>
              </w:rPr>
            </w:pP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关于对</w:t>
            </w:r>
            <w:r>
              <w:rPr>
                <w:rFonts w:hint="default" w:ascii="Times New Roman" w:hAnsi="Times New Roman" w:eastAsia="宋体" w:cs="Times New Roman"/>
                <w:sz w:val="24"/>
                <w:lang w:val="en-US" w:eastAsia="zh-CN"/>
              </w:rPr>
              <w:t>德惠市万宝镇超达傢木门加工厂</w:t>
            </w:r>
            <w:r>
              <w:rPr>
                <w:rFonts w:hint="default" w:ascii="Times New Roman" w:hAnsi="Times New Roman" w:eastAsia="宋体" w:cs="Times New Roman"/>
                <w:sz w:val="24"/>
                <w:szCs w:val="24"/>
                <w:lang w:val="en-US" w:eastAsia="zh-CN"/>
              </w:rPr>
              <w:t>年产免漆强化木门4000套项目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color w:val="auto"/>
                <w:sz w:val="24"/>
                <w:szCs w:val="24"/>
                <w:lang w:eastAsia="zh-CN"/>
              </w:rPr>
              <w:t>的批复</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长春市生态环境局德惠市分局</w:t>
            </w:r>
            <w:r>
              <w:rPr>
                <w:rFonts w:hint="eastAsia" w:cs="Times New Roman"/>
                <w:color w:val="auto"/>
                <w:sz w:val="24"/>
                <w:szCs w:val="24"/>
                <w:lang w:val="en-US" w:eastAsia="zh-CN"/>
              </w:rPr>
              <w:t xml:space="preserve">  </w:t>
            </w:r>
            <w:r>
              <w:rPr>
                <w:rFonts w:hint="eastAsia" w:cs="Times New Roman"/>
                <w:color w:val="auto"/>
                <w:sz w:val="24"/>
                <w:szCs w:val="24"/>
                <w:lang w:eastAsia="zh-CN"/>
              </w:rPr>
              <w:t>德环审字</w:t>
            </w:r>
            <w:r>
              <w:rPr>
                <w:rFonts w:hint="eastAsia" w:cs="Times New Roman"/>
                <w:color w:val="auto"/>
                <w:sz w:val="24"/>
                <w:szCs w:val="24"/>
                <w:lang w:val="en-US" w:eastAsia="zh-CN"/>
              </w:rPr>
              <w:t xml:space="preserve">【2018】76 </w:t>
            </w:r>
            <w:r>
              <w:rPr>
                <w:rFonts w:hint="default" w:ascii="Times New Roman" w:hAnsi="Times New Roman" w:cs="Times New Roman"/>
                <w:color w:val="auto"/>
                <w:sz w:val="24"/>
                <w:szCs w:val="24"/>
                <w:lang w:val="en-US" w:eastAsia="zh-CN"/>
              </w:rPr>
              <w:t>号</w:t>
            </w:r>
            <w:r>
              <w:rPr>
                <w:rFonts w:hint="default" w:ascii="Times New Roman" w:hAnsi="Times New Roman" w:eastAsia="宋体" w:cs="Times New Roman"/>
                <w:color w:val="auto"/>
                <w:sz w:val="24"/>
                <w:szCs w:val="24"/>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555" w:hRule="atLeast"/>
        </w:trPr>
        <w:tc>
          <w:tcPr>
            <w:tcW w:w="1418" w:type="dxa"/>
          </w:tcPr>
          <w:p>
            <w:pPr>
              <w:spacing w:line="360" w:lineRule="auto"/>
              <w:rPr>
                <w:rFonts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验收监测评价标准、标号、级别、限值</w:t>
            </w:r>
          </w:p>
        </w:tc>
        <w:tc>
          <w:tcPr>
            <w:tcW w:w="7938" w:type="dxa"/>
            <w:gridSpan w:val="8"/>
          </w:tcPr>
          <w:p>
            <w:pPr>
              <w:pStyle w:val="3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运行</w:t>
            </w:r>
            <w:r>
              <w:rPr>
                <w:rFonts w:hint="default" w:ascii="Times New Roman" w:hAnsi="Times New Roman" w:cs="Times New Roman"/>
                <w:color w:val="auto"/>
                <w:sz w:val="24"/>
              </w:rPr>
              <w:t>所产生的废气主要为</w:t>
            </w:r>
            <w:r>
              <w:rPr>
                <w:rFonts w:hint="eastAsia" w:ascii="Times New Roman" w:hAnsi="Times New Roman" w:cs="Times New Roman"/>
                <w:color w:val="auto"/>
                <w:sz w:val="24"/>
                <w:lang w:eastAsia="zh-CN"/>
              </w:rPr>
              <w:t>木材开料、钻孔、铣型、开榫过程中产生的工艺粉尘、封边过程中产生的少量有机废气</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开料、钻孔、铣型、开榫过程中产生的工艺粉尘经单机滤袋式除尘器对工作区产生颗粒物进行收集，大部分粉尘截留在滤袋内，少部分无组织排放；封边产生的有机废气在封边上胶机上方设置集气罩，对其进行收集，产生的废气经过</w:t>
            </w:r>
            <w:r>
              <w:rPr>
                <w:rFonts w:hint="eastAsia" w:ascii="Times New Roman" w:hAnsi="Times New Roman" w:cs="Times New Roman"/>
                <w:color w:val="auto"/>
                <w:sz w:val="24"/>
                <w:lang w:val="en-US" w:eastAsia="zh-CN"/>
              </w:rPr>
              <w:t>15m高排气筒排放。废气排放</w:t>
            </w:r>
            <w:r>
              <w:rPr>
                <w:rFonts w:hint="eastAsia" w:ascii="Times New Roman" w:hAnsi="Times New Roman" w:cs="Times New Roman"/>
                <w:color w:val="auto"/>
                <w:sz w:val="24"/>
                <w:lang w:eastAsia="zh-CN"/>
              </w:rPr>
              <w:t>执行</w:t>
            </w:r>
            <w:r>
              <w:rPr>
                <w:rFonts w:hint="eastAsia" w:ascii="Times New Roman" w:hAnsi="Times New Roman" w:cs="Times New Roman"/>
                <w:color w:val="auto"/>
                <w:sz w:val="24"/>
                <w:lang w:val="en-US" w:eastAsia="zh-CN"/>
              </w:rPr>
              <w:t>GB16297-1996《大气污染物综合排放标准》中规定的浓度限值</w:t>
            </w:r>
            <w:r>
              <w:rPr>
                <w:rFonts w:hint="eastAsia" w:ascii="Times New Roman" w:hAnsi="Times New Roman" w:cs="Times New Roman"/>
                <w:color w:val="auto"/>
                <w:sz w:val="24"/>
                <w:lang w:eastAsia="zh-CN"/>
              </w:rPr>
              <w:t>。详</w:t>
            </w:r>
            <w:r>
              <w:rPr>
                <w:rFonts w:hint="default" w:ascii="Times New Roman" w:hAnsi="Times New Roman" w:cs="Times New Roman"/>
                <w:color w:val="auto"/>
                <w:sz w:val="24"/>
              </w:rPr>
              <w:t>见表</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jc w:val="center"/>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表</w:t>
            </w:r>
            <w:r>
              <w:rPr>
                <w:rFonts w:hint="default" w:ascii="Times New Roman" w:hAnsi="Times New Roman" w:eastAsia="宋体" w:cs="Times New Roman"/>
                <w:b w:val="0"/>
                <w:bCs w:val="0"/>
                <w:sz w:val="24"/>
                <w:szCs w:val="24"/>
                <w:u w:val="none"/>
                <w:lang w:val="en-US" w:eastAsia="zh-CN"/>
              </w:rPr>
              <w:t>1-1</w:t>
            </w:r>
            <w:r>
              <w:rPr>
                <w:rFonts w:hint="default" w:ascii="Times New Roman" w:hAnsi="Times New Roman" w:eastAsia="宋体" w:cs="Times New Roman"/>
                <w:b w:val="0"/>
                <w:bCs w:val="0"/>
                <w:sz w:val="24"/>
                <w:szCs w:val="24"/>
                <w:u w:val="none"/>
              </w:rPr>
              <w:t xml:space="preserve"> </w:t>
            </w:r>
            <w:r>
              <w:rPr>
                <w:rFonts w:hint="eastAsia" w:cs="Times New Roman"/>
                <w:b w:val="0"/>
                <w:bCs w:val="0"/>
                <w:sz w:val="24"/>
                <w:szCs w:val="24"/>
                <w:u w:val="none"/>
                <w:lang w:eastAsia="zh-CN"/>
              </w:rPr>
              <w:t>主要大气污染物排放控制</w:t>
            </w:r>
          </w:p>
          <w:tbl>
            <w:tblPr>
              <w:tblStyle w:val="26"/>
              <w:tblW w:w="77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1929"/>
              <w:gridCol w:w="1753"/>
              <w:gridCol w:w="1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8" w:type="dxa"/>
                  <w:vMerge w:val="restar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污染物名称</w:t>
                  </w:r>
                </w:p>
              </w:tc>
              <w:tc>
                <w:tcPr>
                  <w:tcW w:w="3682" w:type="dxa"/>
                  <w:gridSpan w:val="2"/>
                  <w:noWrap w:val="0"/>
                  <w:vAlign w:val="top"/>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废气</w:t>
                  </w:r>
                </w:p>
              </w:tc>
              <w:tc>
                <w:tcPr>
                  <w:tcW w:w="1792" w:type="dxa"/>
                  <w:vMerge w:val="restart"/>
                  <w:noWrap w:val="0"/>
                  <w:vAlign w:val="center"/>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8" w:type="dxa"/>
                  <w:vMerge w:val="continue"/>
                  <w:noWrap w:val="0"/>
                  <w:vAlign w:val="top"/>
                </w:tcPr>
                <w:p>
                  <w:pPr>
                    <w:adjustRightInd w:val="0"/>
                    <w:snapToGrid w:val="0"/>
                    <w:jc w:val="center"/>
                    <w:rPr>
                      <w:rFonts w:hint="default" w:ascii="Times New Roman" w:hAnsi="Times New Roman" w:cs="Times New Roman"/>
                    </w:rPr>
                  </w:pPr>
                </w:p>
              </w:tc>
              <w:tc>
                <w:tcPr>
                  <w:tcW w:w="1929"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排放浓度</w:t>
                  </w:r>
                </w:p>
              </w:tc>
              <w:tc>
                <w:tcPr>
                  <w:tcW w:w="1753" w:type="dxa"/>
                  <w:noWrap w:val="0"/>
                  <w:vAlign w:val="center"/>
                </w:tcPr>
                <w:p>
                  <w:pPr>
                    <w:jc w:val="center"/>
                    <w:rPr>
                      <w:rFonts w:hint="default" w:ascii="Times New Roman" w:hAnsi="Times New Roman" w:eastAsia="宋体" w:cs="Times New Roman"/>
                      <w:lang w:eastAsia="zh-CN"/>
                    </w:rPr>
                  </w:pPr>
                  <w:r>
                    <w:rPr>
                      <w:rFonts w:hint="eastAsia" w:cs="Times New Roman"/>
                      <w:lang w:eastAsia="zh-CN"/>
                    </w:rPr>
                    <w:t>限值定义</w:t>
                  </w:r>
                </w:p>
              </w:tc>
              <w:tc>
                <w:tcPr>
                  <w:tcW w:w="1792" w:type="dxa"/>
                  <w:vMerge w:val="continue"/>
                  <w:noWrap w:val="0"/>
                  <w:vAlign w:val="top"/>
                </w:tcPr>
                <w:p>
                  <w:pPr>
                    <w:adjustRightInd w:val="0"/>
                    <w:snapToGrid w:val="0"/>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248" w:type="dxa"/>
                  <w:noWrap w:val="0"/>
                  <w:vAlign w:val="center"/>
                </w:tcPr>
                <w:p>
                  <w:pPr>
                    <w:adjustRightInd w:val="0"/>
                    <w:snapToGrid w:val="0"/>
                    <w:jc w:val="center"/>
                    <w:rPr>
                      <w:rFonts w:hint="eastAsia" w:ascii="Times New Roman" w:hAnsi="Times New Roman" w:eastAsia="宋体" w:cs="Times New Roman"/>
                      <w:lang w:eastAsia="zh-CN"/>
                    </w:rPr>
                  </w:pPr>
                  <w:r>
                    <w:rPr>
                      <w:rFonts w:hint="eastAsia" w:cs="Times New Roman"/>
                      <w:lang w:eastAsia="zh-CN"/>
                    </w:rPr>
                    <w:t>颗粒物</w:t>
                  </w:r>
                </w:p>
              </w:tc>
              <w:tc>
                <w:tcPr>
                  <w:tcW w:w="1929" w:type="dxa"/>
                  <w:noWrap w:val="0"/>
                  <w:vAlign w:val="center"/>
                </w:tcPr>
                <w:p>
                  <w:pPr>
                    <w:adjustRightInd w:val="0"/>
                    <w:snapToGrid w:val="0"/>
                    <w:jc w:val="center"/>
                    <w:rPr>
                      <w:rFonts w:hint="default" w:ascii="Times New Roman" w:hAnsi="Times New Roman" w:eastAsia="宋体" w:cs="Times New Roman"/>
                      <w:vertAlign w:val="superscript"/>
                      <w:lang w:val="en-US" w:eastAsia="zh-CN"/>
                    </w:rPr>
                  </w:pPr>
                  <w:r>
                    <w:rPr>
                      <w:rFonts w:hint="eastAsia" w:cs="Times New Roman"/>
                      <w:lang w:val="en-US" w:eastAsia="zh-CN"/>
                    </w:rPr>
                    <w:t>1.0</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753" w:type="dxa"/>
                  <w:noWrap w:val="0"/>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监控点与对照点的浓度差值</w:t>
                  </w:r>
                </w:p>
              </w:tc>
              <w:tc>
                <w:tcPr>
                  <w:tcW w:w="1792" w:type="dxa"/>
                  <w:noWrap w:val="0"/>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248" w:type="dxa"/>
                  <w:vMerge w:val="restart"/>
                  <w:noWrap w:val="0"/>
                  <w:vAlign w:val="center"/>
                </w:tcPr>
                <w:p>
                  <w:pPr>
                    <w:adjustRightInd w:val="0"/>
                    <w:snapToGrid w:val="0"/>
                    <w:jc w:val="center"/>
                    <w:rPr>
                      <w:rFonts w:hint="eastAsia" w:cs="Times New Roman"/>
                      <w:lang w:eastAsia="zh-CN"/>
                    </w:rPr>
                  </w:pPr>
                  <w:r>
                    <w:rPr>
                      <w:rFonts w:hint="eastAsia" w:cs="Times New Roman"/>
                      <w:lang w:eastAsia="zh-CN"/>
                    </w:rPr>
                    <w:t>非甲烷总烃</w:t>
                  </w:r>
                </w:p>
              </w:tc>
              <w:tc>
                <w:tcPr>
                  <w:tcW w:w="1929" w:type="dxa"/>
                  <w:noWrap w:val="0"/>
                  <w:vAlign w:val="center"/>
                </w:tcPr>
                <w:p>
                  <w:pPr>
                    <w:adjustRightInd w:val="0"/>
                    <w:snapToGrid w:val="0"/>
                    <w:jc w:val="center"/>
                    <w:rPr>
                      <w:rFonts w:hint="default" w:cs="Times New Roman"/>
                      <w:lang w:val="en-US" w:eastAsia="zh-CN"/>
                    </w:rPr>
                  </w:pPr>
                  <w:r>
                    <w:rPr>
                      <w:rFonts w:hint="eastAsia" w:cs="Times New Roman"/>
                      <w:lang w:val="en-US" w:eastAsia="zh-CN"/>
                    </w:rPr>
                    <w:t>120</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753" w:type="dxa"/>
                  <w:vMerge w:val="restart"/>
                  <w:noWrap w:val="0"/>
                  <w:vAlign w:val="center"/>
                </w:tcPr>
                <w:p>
                  <w:pPr>
                    <w:adjustRightInd w:val="0"/>
                    <w:snapToGrid w:val="0"/>
                    <w:jc w:val="center"/>
                    <w:rPr>
                      <w:rFonts w:hint="eastAsia" w:cs="Times New Roman"/>
                      <w:lang w:val="en-US" w:eastAsia="zh-CN"/>
                    </w:rPr>
                  </w:pPr>
                  <w:r>
                    <w:rPr>
                      <w:rFonts w:hint="eastAsia" w:cs="Times New Roman"/>
                      <w:lang w:val="en-US" w:eastAsia="zh-CN"/>
                    </w:rPr>
                    <w:t>排气筒中最高允许排放值</w:t>
                  </w:r>
                </w:p>
              </w:tc>
              <w:tc>
                <w:tcPr>
                  <w:tcW w:w="1792" w:type="dxa"/>
                  <w:vMerge w:val="restart"/>
                  <w:noWrap w:val="0"/>
                  <w:vAlign w:val="center"/>
                </w:tcPr>
                <w:p>
                  <w:pPr>
                    <w:adjustRightInd w:val="0"/>
                    <w:snapToGrid w:val="0"/>
                    <w:jc w:val="center"/>
                    <w:rPr>
                      <w:rFonts w:hint="default" w:ascii="Times New Roman" w:hAnsi="Times New Roman" w:cs="Times New Roman"/>
                      <w:lang w:val="en-US" w:eastAsia="zh-CN"/>
                    </w:rPr>
                  </w:pPr>
                  <w:r>
                    <w:rPr>
                      <w:rFonts w:hint="eastAsia" w:cs="Times New Roman"/>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48" w:type="dxa"/>
                  <w:vMerge w:val="continue"/>
                  <w:noWrap w:val="0"/>
                  <w:vAlign w:val="center"/>
                </w:tcPr>
                <w:p>
                  <w:pPr>
                    <w:adjustRightInd w:val="0"/>
                    <w:snapToGrid w:val="0"/>
                    <w:jc w:val="center"/>
                  </w:pPr>
                </w:p>
              </w:tc>
              <w:tc>
                <w:tcPr>
                  <w:tcW w:w="1929" w:type="dxa"/>
                  <w:noWrap w:val="0"/>
                  <w:vAlign w:val="center"/>
                </w:tcPr>
                <w:p>
                  <w:pPr>
                    <w:adjustRightInd w:val="0"/>
                    <w:snapToGrid w:val="0"/>
                    <w:jc w:val="center"/>
                    <w:rPr>
                      <w:rFonts w:hint="default" w:cs="Times New Roman"/>
                      <w:lang w:val="en-US" w:eastAsia="zh-CN"/>
                    </w:rPr>
                  </w:pPr>
                  <w:r>
                    <w:rPr>
                      <w:rFonts w:hint="eastAsia" w:cs="Times New Roman"/>
                      <w:lang w:val="en-US" w:eastAsia="zh-CN"/>
                    </w:rPr>
                    <w:t>10.0kg/h</w:t>
                  </w:r>
                </w:p>
              </w:tc>
              <w:tc>
                <w:tcPr>
                  <w:tcW w:w="1753" w:type="dxa"/>
                  <w:vMerge w:val="continue"/>
                  <w:noWrap w:val="0"/>
                  <w:vAlign w:val="center"/>
                </w:tcPr>
                <w:p>
                  <w:pPr>
                    <w:adjustRightInd w:val="0"/>
                    <w:snapToGrid w:val="0"/>
                    <w:jc w:val="center"/>
                    <w:rPr>
                      <w:rFonts w:hint="eastAsia" w:cs="Times New Roman"/>
                      <w:lang w:val="en-US" w:eastAsia="zh-CN"/>
                    </w:rPr>
                  </w:pPr>
                </w:p>
              </w:tc>
              <w:tc>
                <w:tcPr>
                  <w:tcW w:w="1792" w:type="dxa"/>
                  <w:vMerge w:val="continue"/>
                  <w:noWrap w:val="0"/>
                  <w:vAlign w:val="center"/>
                </w:tcPr>
                <w:p>
                  <w:pPr>
                    <w:adjustRightInd w:val="0"/>
                    <w:snapToGrid w:val="0"/>
                    <w:jc w:val="center"/>
                    <w:rPr>
                      <w:rFonts w:hint="eastAsia" w:cs="Times New Roman"/>
                      <w:lang w:val="en-US" w:eastAsia="zh-CN"/>
                    </w:rPr>
                  </w:pPr>
                </w:p>
              </w:tc>
            </w:tr>
          </w:tbl>
          <w:p>
            <w:pPr>
              <w:spacing w:line="360" w:lineRule="auto"/>
              <w:ind w:firstLine="480" w:firstLineChars="200"/>
              <w:rPr>
                <w:rFonts w:hint="default" w:ascii="Times New Roman" w:hAnsi="Times New Roman" w:cs="Times New Roman"/>
                <w:b/>
                <w:bCs/>
                <w:iCs/>
                <w:u w:val="single"/>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、本项目运营期项目厂界噪声执行《工业企业厂界环境噪声排放标准》（GB12348-2008）中的</w:t>
            </w:r>
            <w:r>
              <w:rPr>
                <w:rFonts w:hint="eastAsia" w:cs="Times New Roman"/>
                <w:sz w:val="24"/>
                <w:szCs w:val="24"/>
                <w:lang w:val="en-US" w:eastAsia="zh-CN"/>
              </w:rPr>
              <w:t>2</w:t>
            </w:r>
            <w:r>
              <w:rPr>
                <w:rFonts w:hint="default" w:ascii="Times New Roman" w:hAnsi="Times New Roman" w:cs="Times New Roman"/>
                <w:sz w:val="24"/>
                <w:szCs w:val="24"/>
              </w:rPr>
              <w:t>类排放标准，见表</w:t>
            </w:r>
            <w:r>
              <w:rPr>
                <w:rFonts w:hint="eastAsia" w:cs="Times New Roman"/>
                <w:sz w:val="24"/>
                <w:szCs w:val="24"/>
                <w:lang w:val="en-US" w:eastAsia="zh-CN"/>
              </w:rPr>
              <w:t>1-2</w:t>
            </w:r>
            <w:r>
              <w:rPr>
                <w:rFonts w:hint="default" w:ascii="Times New Roman" w:hAnsi="Times New Roman" w:cs="Times New Roman"/>
                <w:sz w:val="24"/>
                <w:szCs w:val="24"/>
              </w:rPr>
              <w:t>。</w:t>
            </w:r>
          </w:p>
          <w:p>
            <w:pPr>
              <w:spacing w:line="360" w:lineRule="auto"/>
              <w:ind w:firstLine="422"/>
              <w:jc w:val="center"/>
              <w:rPr>
                <w:rFonts w:hint="default" w:ascii="Times New Roman" w:hAnsi="Times New Roman" w:eastAsia="宋体" w:cs="Times New Roman"/>
                <w:b w:val="0"/>
                <w:bCs w:val="0"/>
                <w:iCs/>
                <w:sz w:val="24"/>
                <w:szCs w:val="24"/>
                <w:u w:val="none"/>
              </w:rPr>
            </w:pPr>
            <w:r>
              <w:rPr>
                <w:rFonts w:hint="default" w:ascii="Times New Roman" w:hAnsi="Times New Roman" w:eastAsia="宋体" w:cs="Times New Roman"/>
                <w:b w:val="0"/>
                <w:bCs w:val="0"/>
                <w:iCs/>
                <w:sz w:val="24"/>
                <w:szCs w:val="24"/>
                <w:u w:val="none"/>
              </w:rPr>
              <w:t>表</w:t>
            </w:r>
            <w:r>
              <w:rPr>
                <w:rFonts w:hint="default" w:ascii="Times New Roman" w:hAnsi="Times New Roman" w:eastAsia="宋体" w:cs="Times New Roman"/>
                <w:b w:val="0"/>
                <w:bCs w:val="0"/>
                <w:iCs/>
                <w:sz w:val="24"/>
                <w:szCs w:val="24"/>
                <w:u w:val="none"/>
                <w:lang w:val="en-US" w:eastAsia="zh-CN"/>
              </w:rPr>
              <w:t>1-</w:t>
            </w:r>
            <w:r>
              <w:rPr>
                <w:rFonts w:hint="eastAsia" w:cs="Times New Roman"/>
                <w:b w:val="0"/>
                <w:bCs w:val="0"/>
                <w:iCs/>
                <w:sz w:val="24"/>
                <w:szCs w:val="24"/>
                <w:u w:val="none"/>
                <w:lang w:val="en-US" w:eastAsia="zh-CN"/>
              </w:rPr>
              <w:t>2</w:t>
            </w:r>
            <w:r>
              <w:rPr>
                <w:rFonts w:hint="default" w:ascii="Times New Roman" w:hAnsi="Times New Roman" w:eastAsia="宋体" w:cs="Times New Roman"/>
                <w:b w:val="0"/>
                <w:bCs w:val="0"/>
                <w:iCs/>
                <w:sz w:val="24"/>
                <w:szCs w:val="24"/>
                <w:u w:val="none"/>
              </w:rPr>
              <w:t xml:space="preserve"> 工业企业厂界环境噪声排放标准   单位 dB(A)</w:t>
            </w:r>
          </w:p>
          <w:tbl>
            <w:tblPr>
              <w:tblStyle w:val="26"/>
              <w:tblW w:w="77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968"/>
              <w:gridCol w:w="1967"/>
              <w:gridCol w:w="2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 w:hRule="atLeast"/>
              </w:trPr>
              <w:tc>
                <w:tcPr>
                  <w:tcW w:w="1498" w:type="dxa"/>
                  <w:vMerge w:val="restart"/>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类别</w:t>
                  </w:r>
                </w:p>
              </w:tc>
              <w:tc>
                <w:tcPr>
                  <w:tcW w:w="3935" w:type="dxa"/>
                  <w:gridSpan w:val="2"/>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标准值</w:t>
                  </w:r>
                </w:p>
              </w:tc>
              <w:tc>
                <w:tcPr>
                  <w:tcW w:w="2289" w:type="dxa"/>
                  <w:vMerge w:val="restart"/>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 w:hRule="atLeast"/>
              </w:trPr>
              <w:tc>
                <w:tcPr>
                  <w:tcW w:w="1498" w:type="dxa"/>
                  <w:vMerge w:val="continue"/>
                  <w:noWrap w:val="0"/>
                  <w:vAlign w:val="center"/>
                </w:tcPr>
                <w:p>
                  <w:pPr>
                    <w:spacing w:line="280" w:lineRule="exact"/>
                    <w:jc w:val="center"/>
                    <w:rPr>
                      <w:rFonts w:hint="default" w:ascii="Times New Roman" w:hAnsi="Times New Roman" w:cs="Times New Roman"/>
                    </w:rPr>
                  </w:pPr>
                </w:p>
              </w:tc>
              <w:tc>
                <w:tcPr>
                  <w:tcW w:w="1968"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昼间</w:t>
                  </w:r>
                </w:p>
              </w:tc>
              <w:tc>
                <w:tcPr>
                  <w:tcW w:w="1967"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夜</w:t>
                  </w:r>
                  <w:r>
                    <w:rPr>
                      <w:rFonts w:hint="default" w:ascii="Times New Roman" w:hAnsi="Times New Roman" w:cs="Times New Roman"/>
                      <w:lang w:eastAsia="zh-CN"/>
                    </w:rPr>
                    <w:t>间</w:t>
                  </w:r>
                  <w:r>
                    <w:rPr>
                      <w:rFonts w:hint="default" w:ascii="Times New Roman" w:hAnsi="Times New Roman" w:cs="Times New Roman"/>
                    </w:rPr>
                    <w:cr/>
                  </w:r>
                </w:p>
              </w:tc>
              <w:tc>
                <w:tcPr>
                  <w:tcW w:w="2289" w:type="dxa"/>
                  <w:vMerge w:val="continue"/>
                  <w:noWrap w:val="0"/>
                  <w:vAlign w:val="center"/>
                </w:tcPr>
                <w:p>
                  <w:pPr>
                    <w:spacing w:line="280" w:lineRule="exact"/>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98" w:type="dxa"/>
                  <w:noWrap w:val="0"/>
                  <w:vAlign w:val="center"/>
                </w:tcPr>
                <w:p>
                  <w:pPr>
                    <w:spacing w:line="280" w:lineRule="exact"/>
                    <w:jc w:val="center"/>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类</w:t>
                  </w:r>
                </w:p>
              </w:tc>
              <w:tc>
                <w:tcPr>
                  <w:tcW w:w="1968" w:type="dxa"/>
                  <w:noWrap w:val="0"/>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60</w:t>
                  </w:r>
                </w:p>
              </w:tc>
              <w:tc>
                <w:tcPr>
                  <w:tcW w:w="1967" w:type="dxa"/>
                  <w:noWrap w:val="0"/>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50</w:t>
                  </w:r>
                </w:p>
              </w:tc>
              <w:tc>
                <w:tcPr>
                  <w:tcW w:w="2289"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GB12348－2008</w:t>
                  </w:r>
                </w:p>
              </w:tc>
            </w:tr>
          </w:tbl>
          <w:p>
            <w:pPr>
              <w:numPr>
                <w:ilvl w:val="0"/>
                <w:numId w:val="1"/>
              </w:numPr>
              <w:spacing w:line="360" w:lineRule="auto"/>
              <w:ind w:firstLine="456" w:firstLineChars="200"/>
              <w:jc w:val="left"/>
              <w:rPr>
                <w:rFonts w:hint="eastAsia" w:cs="Times New Roman"/>
                <w:b w:val="0"/>
                <w:bCs/>
                <w:color w:val="auto"/>
                <w:spacing w:val="-6"/>
                <w:sz w:val="24"/>
                <w:szCs w:val="24"/>
                <w:lang w:val="en-US" w:eastAsia="zh-CN"/>
              </w:rPr>
            </w:pPr>
            <w:r>
              <w:rPr>
                <w:rFonts w:hint="default" w:ascii="Times New Roman" w:hAnsi="Times New Roman" w:cs="Times New Roman"/>
                <w:b w:val="0"/>
                <w:bCs/>
                <w:color w:val="auto"/>
                <w:spacing w:val="-6"/>
                <w:sz w:val="24"/>
                <w:szCs w:val="24"/>
                <w:lang w:eastAsia="zh-CN"/>
              </w:rPr>
              <w:t>本项目</w:t>
            </w:r>
            <w:r>
              <w:rPr>
                <w:rFonts w:hint="eastAsia" w:cs="Times New Roman"/>
                <w:b w:val="0"/>
                <w:bCs/>
                <w:color w:val="auto"/>
                <w:spacing w:val="-6"/>
                <w:sz w:val="24"/>
                <w:szCs w:val="24"/>
                <w:lang w:eastAsia="zh-CN"/>
              </w:rPr>
              <w:t>生产不用水，无生产废水排放。所排</w:t>
            </w:r>
            <w:r>
              <w:rPr>
                <w:rFonts w:hint="default" w:ascii="Times New Roman" w:hAnsi="Times New Roman" w:cs="Times New Roman"/>
                <w:b w:val="0"/>
                <w:bCs/>
                <w:color w:val="auto"/>
                <w:spacing w:val="-6"/>
                <w:sz w:val="24"/>
                <w:szCs w:val="24"/>
                <w:lang w:eastAsia="zh-CN"/>
              </w:rPr>
              <w:t>污水</w:t>
            </w:r>
            <w:r>
              <w:rPr>
                <w:rFonts w:hint="eastAsia" w:cs="Times New Roman"/>
                <w:b w:val="0"/>
                <w:bCs/>
                <w:color w:val="auto"/>
                <w:spacing w:val="-6"/>
                <w:sz w:val="24"/>
                <w:szCs w:val="24"/>
                <w:lang w:eastAsia="zh-CN"/>
              </w:rPr>
              <w:t>为生活污水，</w:t>
            </w:r>
            <w:r>
              <w:rPr>
                <w:rFonts w:hint="eastAsia" w:ascii="Times New Roman" w:hAnsi="Times New Roman" w:cs="Times New Roman"/>
                <w:sz w:val="24"/>
                <w:szCs w:val="28"/>
                <w:lang w:val="en-US" w:eastAsia="zh-CN"/>
              </w:rPr>
              <w:t>生活污水</w:t>
            </w:r>
            <w:r>
              <w:rPr>
                <w:rFonts w:hint="eastAsia" w:hAnsi="宋体"/>
                <w:bCs/>
                <w:sz w:val="24"/>
                <w:szCs w:val="24"/>
                <w:lang w:eastAsia="zh-CN"/>
              </w:rPr>
              <w:t>不含有化学物质，不含有有毒有害、重金属等杂质，化学性质稳定，结构简单，各项污染因子浓度较低，属于较清洁下水。全部排入自建防渗旱厕，定期清掏，用作农家肥</w:t>
            </w:r>
            <w:r>
              <w:rPr>
                <w:rFonts w:hint="eastAsia" w:cs="Times New Roman"/>
                <w:b w:val="0"/>
                <w:bCs/>
                <w:color w:val="auto"/>
                <w:spacing w:val="-6"/>
                <w:sz w:val="24"/>
                <w:szCs w:val="24"/>
                <w:lang w:val="en-US" w:eastAsia="zh-CN"/>
              </w:rPr>
              <w:t>。  本次验收不对废水进行监测评价。</w:t>
            </w:r>
          </w:p>
          <w:p>
            <w:pPr>
              <w:pStyle w:val="22"/>
              <w:ind w:left="0" w:leftChars="0" w:firstLine="480" w:firstLineChars="200"/>
              <w:rPr>
                <w:rFonts w:hint="default"/>
                <w:lang w:val="en-US" w:eastAsia="zh-CN"/>
              </w:rPr>
            </w:pPr>
            <w:r>
              <w:rPr>
                <w:rFonts w:hint="default" w:ascii="Times New Roman" w:hAnsi="Times New Roman" w:eastAsia="宋体" w:cs="Times New Roman"/>
                <w:color w:val="auto"/>
                <w:sz w:val="24"/>
                <w:lang w:val="en-US" w:eastAsia="zh-CN"/>
              </w:rPr>
              <w:t>4、本项目生产运行</w:t>
            </w:r>
            <w:r>
              <w:rPr>
                <w:rFonts w:hint="eastAsia" w:cs="Times New Roman"/>
                <w:color w:val="auto"/>
                <w:sz w:val="24"/>
                <w:lang w:val="en-US" w:eastAsia="zh-CN"/>
              </w:rPr>
              <w:t>产生的固</w:t>
            </w:r>
            <w:r>
              <w:rPr>
                <w:rFonts w:hint="default" w:ascii="Times New Roman" w:hAnsi="Times New Roman" w:eastAsia="宋体" w:cs="Times New Roman"/>
                <w:color w:val="auto"/>
                <w:sz w:val="24"/>
                <w:lang w:val="en-US" w:eastAsia="zh-CN"/>
              </w:rPr>
              <w:t>废，一般固废控制满足GB18599-2001《一般工业固体废物贮存、处置场污染控制标准》要求</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危险废物处置应符合GB18579-2001《危险废物贮存污染控制》修改清单的要求</w:t>
            </w:r>
            <w:r>
              <w:rPr>
                <w:rFonts w:hint="default" w:ascii="Times New Roman" w:hAnsi="Times New Roman" w:eastAsia="宋体" w:cs="Times New Roman"/>
                <w:color w:val="auto"/>
                <w:sz w:val="24"/>
                <w:lang w:val="en-US" w:eastAsia="zh-CN"/>
              </w:rPr>
              <w:t>。</w:t>
            </w:r>
          </w:p>
          <w:p>
            <w:pPr>
              <w:spacing w:line="360" w:lineRule="auto"/>
              <w:rPr>
                <w:rFonts w:hint="eastAsia" w:ascii="宋体" w:hAnsi="宋体" w:eastAsia="宋体"/>
                <w:color w:val="FF0000"/>
                <w:sz w:val="24"/>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8" w:type="dxa"/>
          </w:tcPr>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验收监测程序</w:t>
            </w:r>
          </w:p>
        </w:tc>
        <w:tc>
          <w:tcPr>
            <w:tcW w:w="7938" w:type="dxa"/>
            <w:gridSpan w:val="8"/>
          </w:tcPr>
          <w:p>
            <w:pPr>
              <w:spacing w:line="360" w:lineRule="auto"/>
              <w:ind w:firstLine="480"/>
              <w:rPr>
                <w:rFonts w:ascii="宋体" w:hAnsi="宋体"/>
                <w:color w:val="FF0000"/>
                <w:sz w:val="24"/>
              </w:rPr>
            </w:pPr>
            <w:r>
              <w:rPr>
                <w:rFonts w:ascii="宋体" w:hAnsi="宋体"/>
                <w:color w:val="FF0000"/>
                <w:sz w:val="24"/>
              </w:rPr>
              <w:pict>
                <v:rect id="_x0000_s2050" o:spid="_x0000_s2050" o:spt="1" style="position:absolute;left:0pt;margin-left:106.65pt;margin-top:14pt;height:21.05pt;width:126.35pt;z-index:251660288;mso-width-relative:page;mso-height-relative:page;" coordsize="21600,21600">
                  <v:path/>
                  <v:fill focussize="0,0"/>
                  <v:stroke/>
                  <v:imagedata o:title=""/>
                  <o:lock v:ext="edit"/>
                  <v:textbox>
                    <w:txbxContent>
                      <w:p>
                        <w:pPr>
                          <w:ind w:firstLine="240" w:firstLineChars="100"/>
                          <w:rPr>
                            <w:rFonts w:ascii="仿宋" w:hAnsi="仿宋" w:eastAsia="仿宋"/>
                            <w:sz w:val="24"/>
                          </w:rPr>
                        </w:pPr>
                        <w:r>
                          <w:rPr>
                            <w:rFonts w:hint="eastAsia" w:ascii="仿宋" w:hAnsi="仿宋" w:eastAsia="仿宋"/>
                            <w:sz w:val="24"/>
                          </w:rPr>
                          <w:t>成立验收工作组</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51" o:spid="_x0000_s2051" o:spt="32" type="#_x0000_t32" style="position:absolute;left:0pt;flip:x;margin-left:170.45pt;margin-top:17.8pt;height:0pt;width:186.1pt;z-index:251689984;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shape id="_x0000_s2052" o:spid="_x0000_s2052" o:spt="32" type="#_x0000_t32" style="position:absolute;left:0pt;flip:y;margin-left:356.55pt;margin-top:17.8pt;height:297.5pt;width:0pt;z-index:251688960;mso-width-relative:page;mso-height-relative:page;" o:connectortype="straight" filled="f" coordsize="21600,21600">
                  <v:path arrowok="t"/>
                  <v:fill on="f" focussize="0,0"/>
                  <v:stroke/>
                  <v:imagedata o:title=""/>
                  <o:lock v:ext="edit"/>
                </v:shape>
              </w:pict>
            </w:r>
            <w:r>
              <w:rPr>
                <w:rFonts w:ascii="宋体" w:hAnsi="宋体"/>
                <w:color w:val="FF0000"/>
                <w:sz w:val="24"/>
              </w:rPr>
              <w:pict>
                <v:shape id="_x0000_s2053" o:spid="_x0000_s2053" o:spt="32" type="#_x0000_t32" style="position:absolute;left:0pt;margin-left:170.45pt;margin-top:11.65pt;height:21.05pt;width:0.05pt;z-index:251661312;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shape id="_x0000_s2054" o:spid="_x0000_s2054" o:spt="32" type="#_x0000_t32" style="position:absolute;left:0pt;margin-left:300.15pt;margin-top:9.3pt;height:21.05pt;width:0.05pt;z-index:251664384;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shape id="_x0000_s2055" o:spid="_x0000_s2055" o:spt="32" type="#_x0000_t32" style="position:absolute;left:0pt;margin-left:50.2pt;margin-top:9.3pt;height:0pt;width:249.95pt;z-index:251662336;mso-width-relative:page;mso-height-relative:page;" o:connectortype="straight" filled="f" coordsize="21600,21600">
                  <v:path arrowok="t"/>
                  <v:fill on="f" focussize="0,0"/>
                  <v:stroke/>
                  <v:imagedata o:title=""/>
                  <o:lock v:ext="edit"/>
                </v:shape>
              </w:pict>
            </w:r>
            <w:r>
              <w:rPr>
                <w:rFonts w:ascii="宋体" w:hAnsi="宋体"/>
                <w:color w:val="FF0000"/>
                <w:sz w:val="24"/>
              </w:rPr>
              <w:pict>
                <v:shape id="_x0000_s2056" o:spid="_x0000_s2056" o:spt="32" type="#_x0000_t32" style="position:absolute;left:0pt;margin-left:131.7pt;margin-top:9.3pt;height:21.05pt;width:0.05pt;z-index:251665408;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shape id="_x0000_s2057" o:spid="_x0000_s2057" o:spt="32" type="#_x0000_t32" style="position:absolute;left:0pt;margin-left:212.5pt;margin-top:9.3pt;height:21.05pt;width:0.05pt;z-index:251666432;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shape id="_x0000_s2058" o:spid="_x0000_s2058" o:spt="32" type="#_x0000_t32" style="position:absolute;left:0pt;margin-left:50.2pt;margin-top:9.3pt;height:21.05pt;width:0.05pt;z-index:251663360;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rect id="_x0000_s2059" o:spid="_x0000_s2059" o:spt="1" style="position:absolute;left:0pt;margin-left:254.1pt;margin-top:6.95pt;height:21.05pt;width:91.6pt;z-index:251670528;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编制验收方案</w:t>
                        </w:r>
                      </w:p>
                    </w:txbxContent>
                  </v:textbox>
                </v:rect>
              </w:pict>
            </w:r>
            <w:r>
              <w:rPr>
                <w:rFonts w:ascii="宋体" w:hAnsi="宋体"/>
                <w:color w:val="FF0000"/>
                <w:sz w:val="24"/>
              </w:rPr>
              <w:pict>
                <v:rect id="_x0000_s2060" o:spid="_x0000_s2060" o:spt="1" style="position:absolute;left:0pt;margin-left:178.65pt;margin-top:6.95pt;height:21.05pt;width:66.95pt;z-index:251669504;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企业自查工作组</w:t>
                        </w:r>
                      </w:p>
                    </w:txbxContent>
                  </v:textbox>
                </v:rect>
              </w:pict>
            </w:r>
            <w:r>
              <w:rPr>
                <w:rFonts w:ascii="宋体" w:hAnsi="宋体"/>
                <w:color w:val="FF0000"/>
                <w:sz w:val="24"/>
              </w:rPr>
              <w:pict>
                <v:rect id="_x0000_s2061" o:spid="_x0000_s2061" o:spt="1" style="position:absolute;left:0pt;margin-left:97.2pt;margin-top:6.35pt;height:21.05pt;width:66.95pt;z-index:251668480;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资料查阅工作组</w:t>
                        </w:r>
                      </w:p>
                    </w:txbxContent>
                  </v:textbox>
                </v:rect>
              </w:pict>
            </w:r>
            <w:r>
              <w:rPr>
                <w:rFonts w:ascii="宋体" w:hAnsi="宋体"/>
                <w:color w:val="FF0000"/>
                <w:sz w:val="24"/>
              </w:rPr>
              <w:pict>
                <v:rect id="_x0000_s2062" o:spid="_x0000_s2062" o:spt="1" style="position:absolute;left:0pt;margin-left:15.9pt;margin-top:6.95pt;height:21.05pt;width:66.95pt;z-index:251667456;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现场勘察工作组</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63" o:spid="_x0000_s2063" o:spt="32" type="#_x0000_t32" style="position:absolute;left:0pt;margin-left:300.25pt;margin-top:4.6pt;height:22.4pt;width:0pt;z-index:251675648;mso-width-relative:page;mso-height-relative:page;" o:connectortype="straight" filled="f" coordsize="21600,21600">
                  <v:path arrowok="t"/>
                  <v:fill on="f" focussize="0,0"/>
                  <v:stroke/>
                  <v:imagedata o:title=""/>
                  <o:lock v:ext="edit"/>
                </v:shape>
              </w:pict>
            </w:r>
            <w:r>
              <w:rPr>
                <w:rFonts w:ascii="宋体" w:hAnsi="宋体"/>
                <w:color w:val="FF0000"/>
                <w:sz w:val="24"/>
              </w:rPr>
              <w:pict>
                <v:shape id="_x0000_s2064" o:spid="_x0000_s2064" o:spt="32" type="#_x0000_t32" style="position:absolute;left:0pt;margin-left:212.5pt;margin-top:4.6pt;height:22.4pt;width:0pt;z-index:251674624;mso-width-relative:page;mso-height-relative:page;" o:connectortype="straight" filled="f" coordsize="21600,21600">
                  <v:path arrowok="t"/>
                  <v:fill on="f" focussize="0,0"/>
                  <v:stroke/>
                  <v:imagedata o:title=""/>
                  <o:lock v:ext="edit"/>
                </v:shape>
              </w:pict>
            </w:r>
            <w:r>
              <w:rPr>
                <w:rFonts w:ascii="宋体" w:hAnsi="宋体"/>
                <w:color w:val="FF0000"/>
                <w:sz w:val="24"/>
              </w:rPr>
              <w:pict>
                <v:shape id="_x0000_s2065" o:spid="_x0000_s2065" o:spt="32" type="#_x0000_t32" style="position:absolute;left:0pt;margin-left:131.6pt;margin-top:4pt;height:22.4pt;width:0pt;z-index:251673600;mso-width-relative:page;mso-height-relative:page;" o:connectortype="straight" filled="f" coordsize="21600,21600">
                  <v:path arrowok="t"/>
                  <v:fill on="f" focussize="0,0"/>
                  <v:stroke/>
                  <v:imagedata o:title=""/>
                  <o:lock v:ext="edit"/>
                </v:shape>
              </w:pict>
            </w:r>
            <w:r>
              <w:rPr>
                <w:rFonts w:ascii="宋体" w:hAnsi="宋体"/>
                <w:color w:val="FF0000"/>
                <w:sz w:val="24"/>
              </w:rPr>
              <w:pict>
                <v:shape id="_x0000_s2066" o:spid="_x0000_s2066" o:spt="32" type="#_x0000_t32" style="position:absolute;left:0pt;margin-left:50.3pt;margin-top:4.6pt;height:22.4pt;width:0pt;z-index:251672576;mso-width-relative:page;mso-height-relative:page;" o:connectortype="straight" filled="f" coordsize="21600,21600">
                  <v:path arrowok="t"/>
                  <v:fill on="f" focussize="0,0"/>
                  <v:stroke/>
                  <v:imagedata o:title=""/>
                  <o:lock v:ext="edit"/>
                </v:shape>
              </w:pict>
            </w:r>
          </w:p>
          <w:p>
            <w:pPr>
              <w:spacing w:line="360" w:lineRule="auto"/>
              <w:ind w:firstLine="480"/>
              <w:rPr>
                <w:rFonts w:ascii="宋体" w:hAnsi="宋体"/>
                <w:color w:val="FF0000"/>
                <w:sz w:val="24"/>
              </w:rPr>
            </w:pPr>
            <w:r>
              <w:rPr>
                <w:rFonts w:ascii="宋体" w:hAnsi="宋体"/>
                <w:color w:val="FF0000"/>
                <w:sz w:val="24"/>
              </w:rPr>
              <w:pict>
                <v:shape id="_x0000_s2067" o:spid="_x0000_s2067" o:spt="32" type="#_x0000_t32" style="position:absolute;left:0pt;margin-left:173.35pt;margin-top:3.55pt;height:21.05pt;width:0.05pt;z-index:251676672;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shape id="_x0000_s2068" o:spid="_x0000_s2068" o:spt="32" type="#_x0000_t32" style="position:absolute;left:0pt;margin-left:50.3pt;margin-top:3.6pt;height:0pt;width:249.95pt;z-index:251671552;mso-width-relative:page;mso-height-relative:page;" o:connectortype="straight" filled="f" coordsize="21600,21600">
                  <v:path arrowok="t"/>
                  <v:fill on="f" focussize="0,0"/>
                  <v:stroke/>
                  <v:imagedata o:title=""/>
                  <o:lock v:ext="edit"/>
                </v:shape>
              </w:pict>
            </w:r>
          </w:p>
          <w:p>
            <w:pPr>
              <w:spacing w:line="360" w:lineRule="auto"/>
              <w:ind w:firstLine="480"/>
              <w:rPr>
                <w:rFonts w:ascii="宋体" w:hAnsi="宋体"/>
                <w:color w:val="FF0000"/>
                <w:sz w:val="24"/>
              </w:rPr>
            </w:pPr>
            <w:r>
              <w:rPr>
                <w:rFonts w:ascii="宋体" w:hAnsi="宋体"/>
                <w:color w:val="FF0000"/>
                <w:sz w:val="24"/>
              </w:rPr>
              <w:pict>
                <v:shape id="_x0000_s2069" o:spid="_x0000_s2069" o:spt="32" type="#_x0000_t32" style="position:absolute;left:0pt;margin-left:173.45pt;margin-top:22.25pt;height:21.05pt;width:0.05pt;z-index:251678720;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rect id="_x0000_s2070" o:spid="_x0000_s2070" o:spt="1" style="position:absolute;left:0pt;margin-left:96.95pt;margin-top:1.8pt;height:21.05pt;width:152.25pt;z-index:251677696;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现场监测与环境管理检查</w:t>
                        </w:r>
                      </w:p>
                    </w:txbxContent>
                  </v:textbox>
                </v:rect>
              </w:pict>
            </w:r>
          </w:p>
          <w:p>
            <w:pPr>
              <w:spacing w:line="360" w:lineRule="auto"/>
              <w:ind w:firstLine="480"/>
              <w:rPr>
                <w:rFonts w:ascii="宋体" w:hAnsi="宋体"/>
                <w:color w:val="FF0000"/>
                <w:sz w:val="24"/>
              </w:rPr>
            </w:pPr>
            <w:r>
              <w:rPr>
                <w:rFonts w:ascii="宋体" w:hAnsi="宋体"/>
                <w:color w:val="FF0000"/>
                <w:sz w:val="24"/>
              </w:rPr>
              <w:pict>
                <v:rect id="_x0000_s2071" o:spid="_x0000_s2071" o:spt="1" style="position:absolute;left:0pt;margin-left:109.55pt;margin-top:19.7pt;height:21.05pt;width:126.35pt;z-index:251679744;mso-width-relative:page;mso-height-relative:page;" coordsize="21600,21600">
                  <v:path/>
                  <v:fill focussize="0,0"/>
                  <v:stroke/>
                  <v:imagedata o:title=""/>
                  <o:lock v:ext="edit"/>
                  <v:textbox>
                    <w:txbxContent>
                      <w:p>
                        <w:pPr>
                          <w:ind w:firstLine="480" w:firstLineChars="200"/>
                          <w:rPr>
                            <w:rFonts w:ascii="仿宋" w:hAnsi="仿宋" w:eastAsia="仿宋"/>
                            <w:sz w:val="24"/>
                          </w:rPr>
                        </w:pPr>
                        <w:r>
                          <w:rPr>
                            <w:rFonts w:hint="eastAsia" w:ascii="仿宋" w:hAnsi="仿宋" w:eastAsia="仿宋"/>
                            <w:sz w:val="24"/>
                          </w:rPr>
                          <w:t>监测数据处理</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72" o:spid="_x0000_s2072" o:spt="32" type="#_x0000_t32" style="position:absolute;left:0pt;margin-left:173.55pt;margin-top:17.55pt;height:21.05pt;width:0.05pt;z-index:251680768;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rect id="_x0000_s2073" o:spid="_x0000_s2073" o:spt="1" style="position:absolute;left:0pt;margin-left:109.65pt;margin-top:15pt;height:21.05pt;width:126.35pt;z-index:251681792;mso-width-relative:page;mso-height-relative:page;" coordsize="21600,21600">
                  <v:path/>
                  <v:fill focussize="0,0"/>
                  <v:stroke/>
                  <v:imagedata o:title=""/>
                  <o:lock v:ext="edit"/>
                  <v:textbox>
                    <w:txbxContent>
                      <w:p>
                        <w:pPr>
                          <w:ind w:firstLine="480"/>
                          <w:rPr>
                            <w:rFonts w:ascii="仿宋" w:hAnsi="仿宋" w:eastAsia="仿宋"/>
                            <w:sz w:val="24"/>
                          </w:rPr>
                        </w:pPr>
                        <w:r>
                          <w:rPr>
                            <w:rFonts w:hint="eastAsia" w:ascii="仿宋" w:hAnsi="仿宋" w:eastAsia="仿宋"/>
                            <w:sz w:val="24"/>
                          </w:rPr>
                          <w:t>综合评价分析</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74" o:spid="_x0000_s2074" o:spt="32" type="#_x0000_t32" style="position:absolute;left:0pt;margin-left:173.65pt;margin-top:12.15pt;height:21.05pt;width:0.05pt;z-index:251682816;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rect id="_x0000_s2075" o:spid="_x0000_s2075" o:spt="1" style="position:absolute;left:0pt;margin-left:109.75pt;margin-top:9.6pt;height:21.05pt;width:126.35pt;z-index:251683840;mso-width-relative:page;mso-height-relative:page;" coordsize="21600,21600">
                  <v:path/>
                  <v:fill focussize="0,0"/>
                  <v:stroke/>
                  <v:imagedata o:title=""/>
                  <o:lock v:ext="edit"/>
                  <v:textbox>
                    <w:txbxContent>
                      <w:p>
                        <w:pPr>
                          <w:ind w:firstLine="240" w:firstLineChars="100"/>
                          <w:rPr>
                            <w:rFonts w:ascii="仿宋" w:hAnsi="仿宋" w:eastAsia="仿宋"/>
                            <w:sz w:val="24"/>
                          </w:rPr>
                        </w:pPr>
                        <w:r>
                          <w:rPr>
                            <w:rFonts w:hint="eastAsia" w:ascii="仿宋" w:hAnsi="仿宋" w:eastAsia="仿宋"/>
                            <w:sz w:val="24"/>
                          </w:rPr>
                          <w:t>编写验收监测报告</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76" o:spid="_x0000_s2076" o:spt="32" type="#_x0000_t32" style="position:absolute;left:0pt;margin-left:173.75pt;margin-top:7.45pt;height:21.05pt;width:0.05pt;z-index:251684864;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rect id="_x0000_s2077" o:spid="_x0000_s2077" o:spt="1" style="position:absolute;left:0pt;margin-left:109.85pt;margin-top:4.9pt;height:21.05pt;width:126.35pt;z-index:251685888;mso-width-relative:page;mso-height-relative:page;" coordsize="21600,21600">
                  <v:path/>
                  <v:fill focussize="0,0"/>
                  <v:stroke/>
                  <v:imagedata o:title=""/>
                  <o:lock v:ext="edit"/>
                  <v:textbox>
                    <w:txbxContent>
                      <w:p>
                        <w:pPr>
                          <w:ind w:firstLine="480"/>
                          <w:rPr>
                            <w:rFonts w:ascii="仿宋" w:hAnsi="仿宋" w:eastAsia="仿宋"/>
                            <w:sz w:val="24"/>
                          </w:rPr>
                        </w:pPr>
                        <w:r>
                          <w:rPr>
                            <w:rFonts w:hint="eastAsia" w:ascii="仿宋" w:hAnsi="仿宋" w:eastAsia="仿宋"/>
                            <w:sz w:val="24"/>
                          </w:rPr>
                          <w:t>提出验收意见</w:t>
                        </w:r>
                      </w:p>
                    </w:txbxContent>
                  </v:textbox>
                </v:rect>
              </w:pict>
            </w:r>
          </w:p>
          <w:p>
            <w:pPr>
              <w:tabs>
                <w:tab w:val="left" w:pos="4945"/>
              </w:tabs>
              <w:spacing w:line="360" w:lineRule="auto"/>
              <w:ind w:firstLine="480"/>
              <w:rPr>
                <w:rFonts w:ascii="宋体" w:hAnsi="宋体"/>
                <w:color w:val="FF0000"/>
                <w:sz w:val="24"/>
              </w:rPr>
            </w:pPr>
            <w:r>
              <w:rPr>
                <w:rFonts w:ascii="宋体" w:hAnsi="宋体"/>
                <w:color w:val="FF0000"/>
                <w:sz w:val="24"/>
              </w:rPr>
              <w:pict>
                <v:shape id="_x0000_s2078" o:spid="_x0000_s2078" o:spt="32" type="#_x0000_t32" style="position:absolute;left:0pt;margin-left:173.85pt;margin-top:2.75pt;height:46.75pt;width:0.05pt;z-index:251686912;mso-width-relative:page;mso-height-relative:page;" o:connectortype="straight" filled="f" coordsize="21600,21600">
                  <v:path arrowok="t"/>
                  <v:fill on="f" focussize="0,0"/>
                  <v:stroke endarrow="block"/>
                  <v:imagedata o:title=""/>
                  <o:lock v:ext="edit"/>
                </v:shape>
              </w:pict>
            </w:r>
            <w:r>
              <w:rPr>
                <w:rFonts w:ascii="宋体" w:hAnsi="宋体"/>
                <w:color w:val="FF0000"/>
                <w:sz w:val="24"/>
              </w:rPr>
              <w:pict>
                <v:rect id="_x0000_s2079" o:spid="_x0000_s2079" o:spt="1" style="position:absolute;left:0pt;margin-left:128.85pt;margin-top:11.9pt;height:21.05pt;width:44.5pt;z-index:251659264;mso-width-relative:page;mso-height-relative:page;" fillcolor="#FFFFFF" filled="t" stroked="f" coordsize="21600,21600">
                  <v:path/>
                  <v:fill on="t" focussize="0,0"/>
                  <v:stroke on="f"/>
                  <v:imagedata o:title=""/>
                  <o:lock v:ext="edit"/>
                  <v:textbox>
                    <w:txbxContent>
                      <w:p>
                        <w:pPr>
                          <w:rPr>
                            <w:rFonts w:ascii="仿宋" w:hAnsi="仿宋" w:eastAsia="仿宋"/>
                            <w:sz w:val="24"/>
                          </w:rPr>
                        </w:pPr>
                        <w:r>
                          <w:rPr>
                            <w:rFonts w:hint="eastAsia" w:ascii="仿宋" w:hAnsi="仿宋" w:eastAsia="仿宋"/>
                            <w:sz w:val="24"/>
                          </w:rPr>
                          <w:t>合格</w:t>
                        </w:r>
                      </w:p>
                    </w:txbxContent>
                  </v:textbox>
                </v:rect>
              </w:pict>
            </w:r>
            <w:r>
              <w:rPr>
                <w:rFonts w:ascii="宋体" w:hAnsi="宋体"/>
                <w:color w:val="FF0000"/>
                <w:sz w:val="24"/>
              </w:rPr>
              <w:pict>
                <v:rect id="_x0000_s2080" o:spid="_x0000_s2080" o:spt="1" style="position:absolute;left:0pt;margin-left:-2.05pt;margin-top:16.6pt;height:21.05pt;width:126.35pt;z-index:251692032;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其他需要说明的事项</w:t>
                        </w:r>
                      </w:p>
                    </w:txbxContent>
                  </v:textbox>
                </v:rect>
              </w:pict>
            </w:r>
            <w:r>
              <w:rPr>
                <w:rFonts w:ascii="宋体" w:hAnsi="宋体"/>
                <w:color w:val="FF0000"/>
                <w:sz w:val="24"/>
              </w:rPr>
              <w:pict>
                <v:rect id="_x0000_s2081" o:spid="_x0000_s2081" o:spt="1" style="position:absolute;left:0pt;margin-left:221.25pt;margin-top:12.4pt;height:21.05pt;width:126.35pt;z-index:251691008;mso-width-relative:page;mso-height-relative:page;" fillcolor="#FFFFFF" filled="t" stroked="f" coordsize="21600,21600">
                  <v:path/>
                  <v:fill on="t" focussize="0,0"/>
                  <v:stroke on="f"/>
                  <v:imagedata o:title=""/>
                  <o:lock v:ext="edit"/>
                  <v:textbox>
                    <w:txbxContent>
                      <w:p>
                        <w:pPr>
                          <w:ind w:firstLine="480"/>
                          <w:jc w:val="center"/>
                          <w:rPr>
                            <w:rFonts w:ascii="仿宋" w:hAnsi="仿宋" w:eastAsia="仿宋"/>
                            <w:sz w:val="24"/>
                          </w:rPr>
                        </w:pPr>
                        <w:r>
                          <w:rPr>
                            <w:rFonts w:hint="eastAsia" w:ascii="仿宋" w:hAnsi="仿宋" w:eastAsia="仿宋"/>
                            <w:sz w:val="24"/>
                          </w:rPr>
                          <w:t>存在问题需要整改</w:t>
                        </w:r>
                      </w:p>
                    </w:txbxContent>
                  </v:textbox>
                </v:rect>
              </w:pict>
            </w:r>
            <w:r>
              <w:rPr>
                <w:rFonts w:ascii="宋体" w:hAnsi="宋体"/>
                <w:color w:val="FF0000"/>
                <w:sz w:val="24"/>
              </w:rPr>
              <w:pict>
                <v:shape id="_x0000_s2082" o:spid="_x0000_s2082" o:spt="32" type="#_x0000_t32" style="position:absolute;left:0pt;margin-left:173.9pt;margin-top:11.1pt;height:0pt;width:182.65pt;z-index:251687936;mso-width-relative:page;mso-height-relative:page;" o:connectortype="straight" filled="f" coordsize="21600,21600">
                  <v:path arrowok="t"/>
                  <v:fill on="f" focussize="0,0"/>
                  <v:stroke/>
                  <v:imagedata o:title=""/>
                  <o:lock v:ext="edit"/>
                </v:shape>
              </w:pict>
            </w:r>
            <w:r>
              <w:rPr>
                <w:rFonts w:ascii="宋体" w:hAnsi="宋体"/>
                <w:color w:val="FF0000"/>
                <w:sz w:val="24"/>
              </w:rPr>
              <w:tab/>
            </w:r>
          </w:p>
          <w:p>
            <w:pPr>
              <w:spacing w:line="360" w:lineRule="auto"/>
              <w:ind w:firstLine="480"/>
              <w:rPr>
                <w:rFonts w:ascii="宋体" w:hAnsi="宋体"/>
                <w:color w:val="FF0000"/>
                <w:sz w:val="24"/>
              </w:rPr>
            </w:pPr>
            <w:r>
              <w:rPr>
                <w:rFonts w:ascii="宋体" w:hAnsi="宋体"/>
                <w:color w:val="FF0000"/>
                <w:sz w:val="24"/>
              </w:rPr>
              <w:pict>
                <v:shape id="_x0000_s2083" o:spid="_x0000_s2083" o:spt="32" type="#_x0000_t32" style="position:absolute;left:0pt;margin-left:124.3pt;margin-top:6.05pt;height:0pt;width:49.6pt;z-index:251693056;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rect id="_x0000_s2084" o:spid="_x0000_s2084" o:spt="1" style="position:absolute;left:0pt;margin-left:109.95pt;margin-top:2.7pt;height:21.05pt;width:126.35pt;z-index:251694080;mso-width-relative:page;mso-height-relative:page;" coordsize="21600,21600">
                  <v:path/>
                  <v:fill focussize="0,0"/>
                  <v:stroke/>
                  <v:imagedata o:title=""/>
                  <o:lock v:ext="edit"/>
                  <v:textbox>
                    <w:txbxContent>
                      <w:p>
                        <w:pPr>
                          <w:ind w:firstLine="480"/>
                          <w:rPr>
                            <w:rFonts w:ascii="仿宋" w:hAnsi="仿宋" w:eastAsia="仿宋"/>
                            <w:sz w:val="24"/>
                          </w:rPr>
                        </w:pPr>
                        <w:r>
                          <w:rPr>
                            <w:rFonts w:hint="eastAsia" w:ascii="仿宋" w:hAnsi="仿宋" w:eastAsia="仿宋"/>
                            <w:sz w:val="24"/>
                          </w:rPr>
                          <w:t>形成验收报告</w:t>
                        </w:r>
                      </w:p>
                    </w:txbxContent>
                  </v:textbox>
                </v:rect>
              </w:pict>
            </w:r>
          </w:p>
          <w:p>
            <w:pPr>
              <w:spacing w:line="360" w:lineRule="auto"/>
              <w:ind w:firstLine="480"/>
              <w:rPr>
                <w:rFonts w:ascii="宋体" w:hAnsi="宋体"/>
                <w:color w:val="FF0000"/>
                <w:sz w:val="24"/>
              </w:rPr>
            </w:pPr>
            <w:r>
              <w:rPr>
                <w:rFonts w:ascii="宋体" w:hAnsi="宋体"/>
                <w:color w:val="FF0000"/>
                <w:sz w:val="24"/>
              </w:rPr>
              <w:pict>
                <v:rect id="_x0000_s2085" o:spid="_x0000_s2085" o:spt="1" style="position:absolute;left:0pt;margin-left:109.95pt;margin-top:21.4pt;height:21.05pt;width:126.35pt;z-index:251696128;mso-width-relative:page;mso-height-relative:page;" coordsize="21600,21600">
                  <v:path/>
                  <v:fill focussize="0,0"/>
                  <v:stroke/>
                  <v:imagedata o:title=""/>
                  <o:lock v:ext="edit"/>
                  <v:textbox>
                    <w:txbxContent>
                      <w:p>
                        <w:pPr>
                          <w:ind w:firstLine="480"/>
                          <w:rPr>
                            <w:rFonts w:ascii="仿宋" w:hAnsi="仿宋" w:eastAsia="仿宋"/>
                            <w:sz w:val="24"/>
                          </w:rPr>
                        </w:pPr>
                        <w:r>
                          <w:rPr>
                            <w:rFonts w:hint="eastAsia" w:ascii="仿宋" w:hAnsi="仿宋" w:eastAsia="仿宋"/>
                            <w:sz w:val="24"/>
                          </w:rPr>
                          <w:t>公开验收报告</w:t>
                        </w:r>
                      </w:p>
                    </w:txbxContent>
                  </v:textbox>
                </v:rect>
              </w:pict>
            </w:r>
            <w:r>
              <w:rPr>
                <w:rFonts w:ascii="宋体" w:hAnsi="宋体"/>
                <w:color w:val="FF0000"/>
                <w:sz w:val="24"/>
              </w:rPr>
              <w:pict>
                <v:shape id="_x0000_s2086" o:spid="_x0000_s2086" o:spt="32" type="#_x0000_t32" style="position:absolute;left:0pt;margin-left:173.2pt;margin-top:0.35pt;height:21.05pt;width:0.05pt;z-index:251695104;mso-width-relative:page;mso-height-relative:page;" o:connectortype="straight" filled="f" coordsize="21600,21600">
                  <v:path arrowok="t"/>
                  <v:fill on="f" focussize="0,0"/>
                  <v:stroke endarrow="block"/>
                  <v:imagedata o:title=""/>
                  <o:lock v:ext="edit"/>
                </v:shape>
              </w:pict>
            </w:r>
          </w:p>
          <w:p>
            <w:pPr>
              <w:spacing w:line="360" w:lineRule="auto"/>
              <w:ind w:firstLine="480"/>
              <w:rPr>
                <w:rFonts w:ascii="宋体" w:hAnsi="宋体"/>
                <w:color w:val="FF0000"/>
                <w:sz w:val="24"/>
              </w:rPr>
            </w:pPr>
            <w:r>
              <w:rPr>
                <w:rFonts w:ascii="宋体" w:hAnsi="宋体"/>
                <w:color w:val="FF0000"/>
                <w:sz w:val="24"/>
              </w:rPr>
              <w:pict>
                <v:shape id="_x0000_s2087" o:spid="_x0000_s2087" o:spt="32" type="#_x0000_t32" style="position:absolute;left:0pt;flip:x;margin-left:173.75pt;margin-top:19.05pt;height:15.1pt;width:0.05pt;z-index:251697152;mso-width-relative:page;mso-height-relative:page;" filled="f" stroked="t" coordsize="21600,21600">
                  <v:path arrowok="t"/>
                  <v:fill on="f" focussize="0,0"/>
                  <v:stroke color="#000000" endarrow="block"/>
                  <v:imagedata o:title=""/>
                  <o:lock v:ext="edit" aspectratio="f"/>
                </v:shape>
              </w:pict>
            </w:r>
          </w:p>
          <w:p>
            <w:pPr>
              <w:spacing w:line="360" w:lineRule="auto"/>
              <w:ind w:firstLine="480"/>
              <w:rPr>
                <w:rFonts w:ascii="宋体" w:hAnsi="宋体"/>
                <w:color w:val="FF0000"/>
                <w:sz w:val="24"/>
              </w:rPr>
            </w:pPr>
            <w:r>
              <w:rPr>
                <w:rFonts w:ascii="宋体" w:hAnsi="宋体"/>
                <w:color w:val="FF0000"/>
                <w:sz w:val="24"/>
              </w:rPr>
              <w:pict>
                <v:rect id="_x0000_s2088" o:spid="_x0000_s2088" o:spt="1" style="position:absolute;left:0pt;margin-left:5.6pt;margin-top:10.75pt;height:21.05pt;width:336.25pt;z-index:251698176;mso-width-relative:page;mso-height-relative:page;"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登陆全国建设项目竣工环境报告验收信息平台填报相关信息</w:t>
                        </w:r>
                      </w:p>
                    </w:txbxContent>
                  </v:textbox>
                </v:rect>
              </w:pict>
            </w:r>
          </w:p>
          <w:p>
            <w:pPr>
              <w:spacing w:line="360" w:lineRule="auto"/>
              <w:ind w:firstLine="480"/>
              <w:rPr>
                <w:rFonts w:ascii="宋体" w:hAnsi="宋体"/>
                <w:color w:val="FF0000"/>
                <w:sz w:val="24"/>
              </w:rPr>
            </w:pPr>
            <w:r>
              <w:rPr>
                <w:rFonts w:ascii="宋体" w:hAnsi="宋体"/>
                <w:color w:val="FF0000"/>
                <w:sz w:val="24"/>
              </w:rPr>
              <w:pict>
                <v:shape id="_x0000_s2089" o:spid="_x0000_s2089" o:spt="32" type="#_x0000_t32" style="position:absolute;left:0pt;flip:x;margin-left:175.05pt;margin-top:7.4pt;height:15.1pt;width:0.05pt;z-index:251702272;mso-width-relative:page;mso-height-relative:page;" filled="f" stroked="t" coordsize="21600,21600">
                  <v:path arrowok="t"/>
                  <v:fill on="f" focussize="0,0"/>
                  <v:stroke color="#000000" endarrow="block"/>
                  <v:imagedata o:title=""/>
                  <o:lock v:ext="edit" aspectratio="f"/>
                </v:shape>
              </w:pict>
            </w:r>
            <w:r>
              <w:rPr>
                <w:rFonts w:ascii="宋体" w:hAnsi="宋体"/>
                <w:color w:val="FF0000"/>
                <w:sz w:val="24"/>
              </w:rPr>
              <w:pict>
                <v:rect id="_x0000_s2090" o:spid="_x0000_s2090" o:spt="1" style="position:absolute;left:0pt;margin-left:7.7pt;margin-top:19.4pt;height:21.05pt;width:336.25pt;z-index:251699200;mso-width-relative:page;mso-height-relative:page;" coordsize="21600,21600">
                  <v:path/>
                  <v:fill focussize="0,0"/>
                  <v:stroke/>
                  <v:imagedata o:title=""/>
                  <o:lock v:ext="edit"/>
                  <v:textbox>
                    <w:txbxContent>
                      <w:p>
                        <w:pPr>
                          <w:ind w:firstLine="480"/>
                          <w:jc w:val="center"/>
                          <w:rPr>
                            <w:rFonts w:ascii="仿宋" w:hAnsi="仿宋" w:eastAsia="仿宋"/>
                            <w:sz w:val="24"/>
                          </w:rPr>
                        </w:pPr>
                        <w:r>
                          <w:rPr>
                            <w:rFonts w:hint="eastAsia" w:ascii="仿宋" w:hAnsi="仿宋" w:eastAsia="仿宋"/>
                            <w:sz w:val="24"/>
                          </w:rPr>
                          <w:t>整理验收材料，建立一套完成档案</w:t>
                        </w:r>
                      </w:p>
                    </w:txbxContent>
                  </v:textbox>
                </v:rect>
              </w:pict>
            </w:r>
          </w:p>
          <w:p>
            <w:pPr>
              <w:spacing w:line="360" w:lineRule="auto"/>
              <w:rPr>
                <w:rFonts w:ascii="宋体" w:hAnsi="宋体"/>
                <w:color w:val="FF000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8" w:type="dxa"/>
          </w:tcPr>
          <w:p>
            <w:pPr>
              <w:spacing w:line="360" w:lineRule="auto"/>
              <w:rPr>
                <w:rFonts w:hint="default" w:ascii="Times New Roman" w:hAnsi="Times New Roman" w:cs="Times New Roman"/>
                <w:sz w:val="24"/>
              </w:rPr>
            </w:pPr>
            <w:r>
              <w:rPr>
                <w:rFonts w:hint="default" w:ascii="Times New Roman" w:hAnsi="Times New Roman" w:cs="Times New Roman"/>
                <w:sz w:val="24"/>
              </w:rPr>
              <w:t>验收范围</w:t>
            </w:r>
          </w:p>
        </w:tc>
        <w:tc>
          <w:tcPr>
            <w:tcW w:w="7938" w:type="dxa"/>
            <w:gridSpan w:val="8"/>
          </w:tcPr>
          <w:p>
            <w:pPr>
              <w:spacing w:line="360" w:lineRule="auto"/>
              <w:rPr>
                <w:rFonts w:hint="default" w:ascii="Times New Roman" w:hAnsi="Times New Roman" w:cs="Times New Roman"/>
                <w:bCs/>
                <w:color w:val="auto"/>
                <w:sz w:val="24"/>
                <w:szCs w:val="21"/>
                <w:lang w:eastAsia="zh-CN"/>
              </w:rPr>
            </w:pPr>
            <w:r>
              <w:rPr>
                <w:rFonts w:hint="default" w:ascii="Times New Roman" w:hAnsi="Times New Roman" w:cs="Times New Roman"/>
                <w:bCs/>
                <w:color w:val="auto"/>
                <w:sz w:val="24"/>
                <w:szCs w:val="21"/>
              </w:rPr>
              <w:t>本项目主体工程、附属设施、公用工程、环保工程、环评报告及批复内容</w:t>
            </w:r>
            <w:r>
              <w:rPr>
                <w:rFonts w:hint="default" w:ascii="Times New Roman" w:hAnsi="Times New Roman" w:cs="Times New Roman"/>
                <w:bCs/>
                <w:color w:val="auto"/>
                <w:sz w:val="24"/>
                <w:szCs w:val="21"/>
                <w:lang w:eastAsia="zh-CN"/>
              </w:rPr>
              <w:t>。</w:t>
            </w:r>
          </w:p>
          <w:p>
            <w:pPr>
              <w:spacing w:line="360" w:lineRule="auto"/>
              <w:rPr>
                <w:rFonts w:hint="default" w:ascii="Times New Roman" w:hAnsi="Times New Roman" w:cs="Times New Roman"/>
                <w:bCs/>
                <w:color w:val="auto"/>
                <w:sz w:val="24"/>
                <w:szCs w:val="21"/>
                <w:lang w:eastAsia="zh-CN"/>
              </w:rPr>
            </w:pPr>
            <w:r>
              <w:rPr>
                <w:rFonts w:hint="default" w:ascii="Times New Roman" w:hAnsi="Times New Roman" w:cs="Times New Roman"/>
                <w:bCs/>
                <w:color w:val="auto"/>
                <w:sz w:val="24"/>
                <w:szCs w:val="21"/>
                <w:lang w:eastAsia="zh-CN"/>
              </w:rPr>
              <w:t>主要为一下方面：</w:t>
            </w:r>
          </w:p>
          <w:p>
            <w:pPr>
              <w:numPr>
                <w:ilvl w:val="0"/>
                <w:numId w:val="2"/>
              </w:numPr>
              <w:spacing w:line="360" w:lineRule="auto"/>
              <w:rPr>
                <w:rFonts w:hint="default" w:ascii="Times New Roman" w:hAnsi="Times New Roman" w:cs="Times New Roman"/>
                <w:bCs/>
                <w:color w:val="auto"/>
                <w:sz w:val="24"/>
                <w:szCs w:val="21"/>
                <w:lang w:val="en-US" w:eastAsia="zh-CN"/>
              </w:rPr>
            </w:pPr>
            <w:r>
              <w:rPr>
                <w:rFonts w:hint="default" w:ascii="Times New Roman" w:hAnsi="Times New Roman" w:cs="Times New Roman"/>
                <w:bCs/>
                <w:color w:val="auto"/>
                <w:sz w:val="24"/>
                <w:szCs w:val="21"/>
                <w:lang w:val="en-US" w:eastAsia="zh-CN"/>
              </w:rPr>
              <w:t>项目废水排放情况；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项目工艺废气排放情况；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项目区域噪声达标情况；</w:t>
            </w:r>
          </w:p>
          <w:p>
            <w:pPr>
              <w:numPr>
                <w:ilvl w:val="0"/>
                <w:numId w:val="2"/>
              </w:numPr>
              <w:spacing w:line="360" w:lineRule="auto"/>
              <w:rPr>
                <w:rFonts w:hint="default" w:ascii="Times New Roman" w:hAnsi="Times New Roman" w:cs="Times New Roman"/>
                <w:color w:val="auto"/>
                <w:sz w:val="24"/>
              </w:rPr>
            </w:pPr>
            <w:r>
              <w:rPr>
                <w:rFonts w:hint="eastAsia" w:cs="Times New Roman"/>
                <w:color w:val="auto"/>
                <w:sz w:val="24"/>
                <w:lang w:eastAsia="zh-CN"/>
              </w:rPr>
              <w:t>项目固体废物处置情况；</w:t>
            </w:r>
          </w:p>
          <w:p>
            <w:pPr>
              <w:numPr>
                <w:ilvl w:val="0"/>
                <w:numId w:val="2"/>
              </w:numPr>
              <w:spacing w:line="360" w:lineRule="auto"/>
              <w:rPr>
                <w:rFonts w:hint="default" w:ascii="Times New Roman" w:hAnsi="Times New Roman" w:cs="Times New Roman"/>
                <w:color w:val="auto"/>
                <w:sz w:val="24"/>
              </w:rPr>
            </w:pPr>
            <w:r>
              <w:rPr>
                <w:rFonts w:hint="default" w:ascii="Times New Roman" w:hAnsi="Times New Roman" w:cs="Times New Roman"/>
                <w:bCs/>
                <w:color w:val="auto"/>
                <w:sz w:val="24"/>
                <w:szCs w:val="21"/>
                <w:lang w:eastAsia="zh-CN"/>
              </w:rPr>
              <w:t>其他环保设施及达标情况</w:t>
            </w:r>
            <w:r>
              <w:rPr>
                <w:rFonts w:hint="default" w:ascii="Times New Roman" w:hAnsi="Times New Roman" w:cs="Times New Roman"/>
                <w:bCs/>
                <w:color w:val="auto"/>
                <w:sz w:val="24"/>
                <w:szCs w:val="21"/>
              </w:rPr>
              <w:t>。</w:t>
            </w:r>
          </w:p>
        </w:tc>
      </w:tr>
    </w:tbl>
    <w:p>
      <w:pPr>
        <w:pStyle w:val="4"/>
        <w:spacing w:before="0" w:after="0" w:line="240" w:lineRule="auto"/>
        <w:ind w:firstLine="602"/>
        <w:rPr>
          <w:rFonts w:ascii="宋体" w:hAnsi="宋体" w:eastAsia="宋体"/>
          <w:sz w:val="24"/>
        </w:rPr>
      </w:pPr>
      <w:r>
        <w:rPr>
          <w:rFonts w:ascii="宋体" w:hAnsi="宋体" w:eastAsia="宋体"/>
          <w:sz w:val="24"/>
        </w:rPr>
        <w:t>表二</w:t>
      </w:r>
    </w:p>
    <w:tbl>
      <w:tblPr>
        <w:tblStyle w:val="26"/>
        <w:tblW w:w="93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14" w:hRule="atLeast"/>
          <w:jc w:val="center"/>
        </w:trPr>
        <w:tc>
          <w:tcPr>
            <w:tcW w:w="9388" w:type="dxa"/>
          </w:tcPr>
          <w:p>
            <w:pPr>
              <w:spacing w:line="360" w:lineRule="auto"/>
              <w:ind w:firstLine="482" w:firstLineChars="200"/>
              <w:rPr>
                <w:b/>
                <w:bCs/>
              </w:rPr>
            </w:pPr>
            <w:r>
              <w:rPr>
                <w:rFonts w:hint="eastAsia"/>
                <w:b/>
                <w:bCs/>
                <w:sz w:val="24"/>
              </w:rPr>
              <w:t>工程建设内容：</w:t>
            </w:r>
            <w:r>
              <w:rPr>
                <w:b/>
                <w:bCs/>
                <w:sz w:val="24"/>
              </w:rPr>
              <w:t xml:space="preserve"> </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1、地理位置及平面布置</w:t>
            </w:r>
          </w:p>
          <w:p>
            <w:pPr>
              <w:spacing w:line="360" w:lineRule="auto"/>
              <w:ind w:firstLine="480" w:firstLineChars="200"/>
              <w:rPr>
                <w:rFonts w:hint="default" w:ascii="Times New Roman" w:hAnsi="Times New Roman" w:eastAsia="宋体" w:cs="Times New Roman"/>
                <w:b/>
                <w:sz w:val="24"/>
              </w:rPr>
            </w:pPr>
            <w:r>
              <w:rPr>
                <w:rFonts w:hint="default" w:ascii="Times New Roman" w:hAnsi="Times New Roman" w:eastAsia="宋体" w:cs="Times New Roman"/>
                <w:sz w:val="24"/>
              </w:rPr>
              <w:t>地理位置：德惠市万宝镇大王家村十社，详见附图1。中心地理坐标为</w:t>
            </w:r>
            <w:r>
              <w:rPr>
                <w:rFonts w:hint="eastAsia" w:cs="Times New Roman"/>
                <w:sz w:val="24"/>
                <w:lang w:val="en-US" w:eastAsia="zh-CN"/>
              </w:rPr>
              <w:t>N</w:t>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603974</w:t>
            </w:r>
            <w:r>
              <w:rPr>
                <w:rFonts w:hint="default" w:ascii="Times New Roman" w:hAnsi="Times New Roman" w:eastAsia="宋体" w:cs="Times New Roman"/>
                <w:color w:val="auto"/>
                <w:sz w:val="24"/>
              </w:rPr>
              <w:t xml:space="preserve">°  </w:t>
            </w:r>
            <w:r>
              <w:rPr>
                <w:rFonts w:hint="eastAsia" w:cs="Times New Roman"/>
                <w:color w:val="auto"/>
                <w:sz w:val="24"/>
                <w:lang w:val="en-US" w:eastAsia="zh-CN"/>
              </w:rPr>
              <w:t>E</w:t>
            </w:r>
            <w:r>
              <w:rPr>
                <w:rFonts w:hint="default" w:ascii="Times New Roman" w:hAnsi="Times New Roman" w:eastAsia="宋体" w:cs="Times New Roman"/>
                <w:color w:val="auto"/>
                <w:sz w:val="24"/>
                <w:lang w:val="en-US" w:eastAsia="zh-CN"/>
              </w:rPr>
              <w:t>125.</w:t>
            </w:r>
            <w:r>
              <w:rPr>
                <w:rFonts w:hint="eastAsia" w:cs="Times New Roman"/>
                <w:color w:val="auto"/>
                <w:sz w:val="24"/>
                <w:lang w:val="en-US" w:eastAsia="zh-CN"/>
              </w:rPr>
              <w:t>271935</w:t>
            </w:r>
            <w:r>
              <w:rPr>
                <w:rFonts w:hint="default" w:ascii="Times New Roman" w:hAnsi="Times New Roman" w:eastAsia="宋体" w:cs="Times New Roman"/>
                <w:color w:val="auto"/>
                <w:sz w:val="24"/>
              </w:rPr>
              <w:t>°。</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周边概况：</w:t>
            </w:r>
            <w:r>
              <w:rPr>
                <w:rFonts w:hint="default" w:ascii="Times New Roman" w:hAnsi="Times New Roman" w:eastAsia="宋体" w:cs="Times New Roman"/>
                <w:sz w:val="24"/>
                <w:lang w:eastAsia="zh-CN"/>
              </w:rPr>
              <w:t>本项目位于</w:t>
            </w:r>
            <w:r>
              <w:rPr>
                <w:rFonts w:hint="default" w:ascii="Times New Roman" w:hAnsi="Times New Roman" w:eastAsia="宋体" w:cs="Times New Roman"/>
                <w:sz w:val="24"/>
              </w:rPr>
              <w:t>德惠市万宝镇大王家村十社。使用的土地为新增建设用地。项目厂区北侧为德惠市万宝镇宇欣盛典木门加工厂，东侧为旱地，南侧为旱田，西侧为旱地。</w:t>
            </w:r>
            <w:r>
              <w:rPr>
                <w:rFonts w:hAnsi="宋体"/>
                <w:sz w:val="24"/>
              </w:rPr>
              <w:t>本项目</w:t>
            </w:r>
            <w:r>
              <w:rPr>
                <w:rFonts w:hint="eastAsia" w:hAnsi="宋体"/>
                <w:sz w:val="24"/>
                <w:lang w:eastAsia="zh-CN"/>
              </w:rPr>
              <w:t>附近</w:t>
            </w:r>
            <w:r>
              <w:rPr>
                <w:rFonts w:hint="eastAsia" w:hAnsi="宋体"/>
                <w:sz w:val="24"/>
                <w:lang w:val="en-US" w:eastAsia="zh-CN"/>
              </w:rPr>
              <w:t>500米内无居民、学校、机关及医院等环境敏感点</w:t>
            </w:r>
            <w:r>
              <w:rPr>
                <w:rFonts w:hAnsi="宋体"/>
                <w:sz w:val="24"/>
              </w:rPr>
              <w:t>。</w:t>
            </w:r>
            <w:r>
              <w:rPr>
                <w:rFonts w:hint="default" w:ascii="Times New Roman" w:hAnsi="Times New Roman" w:eastAsia="宋体" w:cs="Times New Roman"/>
                <w:sz w:val="24"/>
              </w:rPr>
              <w:t>周边环境概况详见附图</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2、建设内容</w:t>
            </w:r>
          </w:p>
          <w:p>
            <w:pPr>
              <w:spacing w:line="360" w:lineRule="auto"/>
              <w:ind w:firstLine="470" w:firstLineChars="196"/>
              <w:rPr>
                <w:rFonts w:hint="eastAsia" w:cs="Times New Roman"/>
                <w:bCs/>
                <w:sz w:val="24"/>
                <w:szCs w:val="32"/>
                <w:lang w:eastAsia="zh-CN"/>
              </w:rPr>
            </w:pPr>
            <w:r>
              <w:rPr>
                <w:rFonts w:hint="default" w:ascii="Times New Roman" w:hAnsi="Times New Roman" w:cs="Times New Roman"/>
                <w:bCs/>
                <w:sz w:val="24"/>
                <w:szCs w:val="32"/>
              </w:rPr>
              <w:t>本项目厂区占地面积4000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，建筑面积为</w:t>
            </w:r>
            <w:r>
              <w:rPr>
                <w:rFonts w:hint="eastAsia" w:cs="Times New Roman"/>
                <w:bCs/>
                <w:sz w:val="24"/>
                <w:szCs w:val="32"/>
                <w:lang w:val="en-US" w:eastAsia="zh-CN"/>
              </w:rPr>
              <w:t>208</w:t>
            </w:r>
            <w:r>
              <w:rPr>
                <w:rFonts w:hint="default" w:ascii="Times New Roman" w:hAnsi="Times New Roman" w:cs="Times New Roman"/>
                <w:bCs/>
                <w:sz w:val="24"/>
                <w:szCs w:val="32"/>
                <w:lang w:val="en-US" w:eastAsia="zh-CN"/>
              </w:rPr>
              <w:t>0</w:t>
            </w:r>
            <w:r>
              <w:rPr>
                <w:rFonts w:hint="default" w:ascii="Times New Roman" w:hAnsi="Times New Roman" w:cs="Times New Roman"/>
                <w:bCs/>
                <w:sz w:val="24"/>
                <w:szCs w:val="32"/>
              </w:rPr>
              <w:t>m</w:t>
            </w:r>
            <w:r>
              <w:rPr>
                <w:rFonts w:hint="default" w:ascii="Times New Roman" w:hAnsi="Times New Roman" w:cs="Times New Roman"/>
                <w:bCs/>
                <w:sz w:val="24"/>
                <w:szCs w:val="32"/>
                <w:vertAlign w:val="superscript"/>
              </w:rPr>
              <w:t>2</w:t>
            </w:r>
            <w:r>
              <w:rPr>
                <w:rFonts w:hint="default" w:ascii="Times New Roman" w:hAnsi="Times New Roman" w:cs="Times New Roman"/>
                <w:bCs/>
                <w:sz w:val="24"/>
                <w:szCs w:val="32"/>
              </w:rPr>
              <w:t>。使用的土地性质为新增建设用地，项目建筑物主要包括办公室（80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、仓库（1000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）、生产车间（</w:t>
            </w:r>
            <w:r>
              <w:rPr>
                <w:rFonts w:hint="eastAsia" w:cs="Times New Roman"/>
                <w:bCs/>
                <w:sz w:val="24"/>
                <w:szCs w:val="32"/>
                <w:lang w:val="en-US" w:eastAsia="zh-CN"/>
              </w:rPr>
              <w:t>100</w:t>
            </w:r>
            <w:r>
              <w:rPr>
                <w:rFonts w:hint="default" w:ascii="Times New Roman" w:hAnsi="Times New Roman" w:cs="Times New Roman"/>
                <w:bCs/>
                <w:sz w:val="24"/>
                <w:szCs w:val="32"/>
                <w:lang w:val="en-US" w:eastAsia="zh-CN"/>
              </w:rPr>
              <w:t>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w:t>
            </w:r>
            <w:r>
              <w:rPr>
                <w:rFonts w:hint="eastAsia" w:cs="Times New Roman"/>
                <w:bCs/>
                <w:sz w:val="24"/>
                <w:szCs w:val="32"/>
                <w:lang w:eastAsia="zh-CN"/>
              </w:rPr>
              <w:t>，</w:t>
            </w:r>
            <w:r>
              <w:rPr>
                <w:rFonts w:hint="eastAsia" w:cs="Times New Roman"/>
                <w:bCs/>
                <w:sz w:val="24"/>
                <w:szCs w:val="32"/>
                <w:lang w:val="en-US" w:eastAsia="zh-CN"/>
              </w:rPr>
              <w:t xml:space="preserve"> 本次建成主要从事免漆强化木门的制造，年产</w:t>
            </w:r>
            <w:r>
              <w:rPr>
                <w:rFonts w:hint="eastAsia" w:cs="Times New Roman"/>
                <w:bCs/>
                <w:sz w:val="24"/>
                <w:szCs w:val="32"/>
                <w:lang w:eastAsia="zh-CN"/>
              </w:rPr>
              <w:t>免漆强化木门4000套。</w:t>
            </w:r>
          </w:p>
          <w:p>
            <w:pPr>
              <w:pStyle w:val="42"/>
              <w:spacing w:before="156"/>
              <w:ind w:firstLine="480"/>
              <w:rPr>
                <w:rFonts w:hint="default" w:ascii="Times New Roman" w:hAnsi="Times New Roman" w:eastAsia="宋体" w:cs="Times New Roman"/>
              </w:rPr>
            </w:pPr>
            <w:r>
              <w:rPr>
                <w:rFonts w:hint="default" w:ascii="Times New Roman" w:hAnsi="Times New Roman" w:eastAsia="宋体" w:cs="Times New Roman"/>
              </w:rPr>
              <w:t>表2-1 建设内容表</w:t>
            </w:r>
          </w:p>
          <w:tbl>
            <w:tblPr>
              <w:tblStyle w:val="26"/>
              <w:tblW w:w="91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13"/>
              <w:gridCol w:w="715"/>
              <w:gridCol w:w="3382"/>
              <w:gridCol w:w="23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127"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工程组成</w:t>
                  </w:r>
                </w:p>
              </w:tc>
              <w:tc>
                <w:tcPr>
                  <w:tcW w:w="2328" w:type="dxa"/>
                  <w:gridSpan w:val="2"/>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工程内容</w:t>
                  </w:r>
                </w:p>
              </w:tc>
              <w:tc>
                <w:tcPr>
                  <w:tcW w:w="3382"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内容及规模</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实际建设内容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7"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主体工程</w:t>
                  </w:r>
                </w:p>
              </w:tc>
              <w:tc>
                <w:tcPr>
                  <w:tcW w:w="2328" w:type="dxa"/>
                  <w:gridSpan w:val="2"/>
                  <w:tcBorders>
                    <w:tl2br w:val="nil"/>
                    <w:tr2bl w:val="nil"/>
                  </w:tcBorders>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 xml:space="preserve">车间 </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建筑面积1000m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27" w:type="dxa"/>
                  <w:vMerge w:val="restart"/>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辅助工程</w:t>
                  </w:r>
                </w:p>
              </w:tc>
              <w:tc>
                <w:tcPr>
                  <w:tcW w:w="2328" w:type="dxa"/>
                  <w:gridSpan w:val="2"/>
                  <w:tcBorders>
                    <w:tl2br w:val="nil"/>
                    <w:tr2bl w:val="nil"/>
                  </w:tcBorders>
                  <w:vAlign w:val="center"/>
                </w:tcPr>
                <w:p>
                  <w:pPr>
                    <w:pStyle w:val="69"/>
                    <w:widowControl/>
                    <w:tabs>
                      <w:tab w:val="left" w:pos="1260"/>
                      <w:tab w:val="left" w:pos="1290"/>
                    </w:tabs>
                    <w:spacing w:line="240" w:lineRule="auto"/>
                    <w:jc w:val="center"/>
                    <w:rPr>
                      <w:rFonts w:hint="default" w:ascii="Times New Roman" w:hAnsi="Times New Roman" w:eastAsia="宋体" w:cs="Times New Roman"/>
                      <w:sz w:val="21"/>
                      <w:lang w:eastAsia="zh-CN"/>
                    </w:rPr>
                  </w:pPr>
                  <w:r>
                    <w:rPr>
                      <w:rFonts w:hint="eastAsia" w:cs="宋体"/>
                      <w:iCs/>
                      <w:sz w:val="21"/>
                      <w:szCs w:val="21"/>
                    </w:rPr>
                    <w:t>办公楼</w:t>
                  </w:r>
                </w:p>
              </w:tc>
              <w:tc>
                <w:tcPr>
                  <w:tcW w:w="3382" w:type="dxa"/>
                  <w:tcBorders>
                    <w:tl2br w:val="nil"/>
                    <w:tr2bl w:val="nil"/>
                  </w:tcBorders>
                  <w:vAlign w:val="center"/>
                </w:tcPr>
                <w:p>
                  <w:pPr>
                    <w:pStyle w:val="69"/>
                    <w:widowControl/>
                    <w:tabs>
                      <w:tab w:val="left" w:pos="1260"/>
                    </w:tabs>
                    <w:spacing w:line="240" w:lineRule="auto"/>
                    <w:jc w:val="center"/>
                    <w:rPr>
                      <w:rFonts w:hint="default" w:ascii="Times New Roman" w:hAnsi="Times New Roman" w:eastAsia="宋体" w:cs="Times New Roman"/>
                      <w:sz w:val="21"/>
                      <w:vertAlign w:val="superscript"/>
                      <w:lang w:val="en-US" w:eastAsia="zh-CN"/>
                    </w:rPr>
                  </w:pPr>
                  <w:r>
                    <w:rPr>
                      <w:rFonts w:hint="eastAsia" w:ascii="Times New Roman" w:hAnsi="Times New Roman"/>
                      <w:iCs/>
                      <w:sz w:val="21"/>
                      <w:szCs w:val="21"/>
                      <w:lang w:eastAsia="zh-CN"/>
                    </w:rPr>
                    <w:t>建筑面积</w:t>
                  </w:r>
                  <w:r>
                    <w:rPr>
                      <w:rFonts w:hint="eastAsia" w:ascii="Times New Roman" w:hAnsi="Times New Roman"/>
                      <w:iCs/>
                      <w:sz w:val="21"/>
                      <w:szCs w:val="21"/>
                      <w:lang w:val="en-US" w:eastAsia="zh-CN"/>
                    </w:rPr>
                    <w:t>80m</w:t>
                  </w:r>
                  <w:r>
                    <w:rPr>
                      <w:rFonts w:hint="eastAsia" w:ascii="Times New Roman" w:hAnsi="Times New Roman"/>
                      <w:iCs/>
                      <w:sz w:val="21"/>
                      <w:szCs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27" w:type="dxa"/>
                  <w:vMerge w:val="continue"/>
                  <w:tcBorders>
                    <w:tl2br w:val="nil"/>
                    <w:tr2bl w:val="nil"/>
                  </w:tcBorders>
                  <w:vAlign w:val="center"/>
                </w:tcPr>
                <w:p>
                  <w:pPr>
                    <w:pStyle w:val="44"/>
                    <w:rPr>
                      <w:rFonts w:hint="default" w:ascii="Times New Roman" w:hAnsi="Times New Roman" w:cs="Times New Roman"/>
                    </w:rPr>
                  </w:pPr>
                </w:p>
              </w:tc>
              <w:tc>
                <w:tcPr>
                  <w:tcW w:w="2328" w:type="dxa"/>
                  <w:gridSpan w:val="2"/>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库房</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厂区西侧，建筑面积1000m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27" w:type="dxa"/>
                  <w:vMerge w:val="continue"/>
                  <w:tcBorders>
                    <w:tl2br w:val="nil"/>
                    <w:tr2bl w:val="nil"/>
                  </w:tcBorders>
                  <w:vAlign w:val="center"/>
                </w:tcPr>
                <w:p>
                  <w:pPr>
                    <w:pStyle w:val="44"/>
                    <w:rPr>
                      <w:rFonts w:hint="default" w:ascii="Times New Roman" w:hAnsi="Times New Roman" w:cs="Times New Roman"/>
                    </w:rPr>
                  </w:pPr>
                </w:p>
              </w:tc>
              <w:tc>
                <w:tcPr>
                  <w:tcW w:w="2328" w:type="dxa"/>
                  <w:gridSpan w:val="2"/>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门卫</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厂区北侧，建筑面积20m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7"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公用工程</w:t>
                  </w: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供水</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eastAsia="zh-CN"/>
                    </w:rPr>
                    <w:t>厂区地下水，涌水量</w:t>
                  </w:r>
                  <w:r>
                    <w:rPr>
                      <w:rFonts w:hint="eastAsia" w:ascii="Times New Roman" w:hAnsi="Times New Roman" w:eastAsia="宋体" w:cs="Times New Roman"/>
                      <w:sz w:val="21"/>
                      <w:lang w:val="en-US" w:eastAsia="zh-CN"/>
                    </w:rPr>
                    <w:t>10m</w:t>
                  </w:r>
                  <w:r>
                    <w:rPr>
                      <w:rFonts w:hint="eastAsia" w:ascii="Times New Roman" w:hAnsi="Times New Roman" w:eastAsia="宋体" w:cs="Times New Roman"/>
                      <w:sz w:val="21"/>
                      <w:vertAlign w:val="superscript"/>
                      <w:lang w:val="en-US" w:eastAsia="zh-CN"/>
                    </w:rPr>
                    <w:t>3</w:t>
                  </w:r>
                  <w:r>
                    <w:rPr>
                      <w:rFonts w:hint="eastAsia" w:ascii="Times New Roman" w:hAnsi="Times New Roman" w:eastAsia="宋体" w:cs="Times New Roman"/>
                      <w:sz w:val="21"/>
                      <w:lang w:val="en-US" w:eastAsia="zh-CN"/>
                    </w:rPr>
                    <w:t>/h</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供电</w:t>
                  </w:r>
                </w:p>
              </w:tc>
              <w:tc>
                <w:tcPr>
                  <w:tcW w:w="3382" w:type="dxa"/>
                  <w:tcBorders>
                    <w:tl2br w:val="nil"/>
                    <w:tr2bl w:val="nil"/>
                  </w:tcBorders>
                  <w:shd w:val="clear" w:color="auto" w:fill="auto"/>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城市供电电网</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供热</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采用电加热</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27"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环保工程</w:t>
                  </w:r>
                </w:p>
              </w:tc>
              <w:tc>
                <w:tcPr>
                  <w:tcW w:w="1613"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污水处理</w:t>
                  </w:r>
                </w:p>
              </w:tc>
              <w:tc>
                <w:tcPr>
                  <w:tcW w:w="715"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生产</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生产不用水，无生产废水排放</w:t>
                  </w:r>
                </w:p>
              </w:tc>
              <w:tc>
                <w:tcPr>
                  <w:tcW w:w="2335" w:type="dxa"/>
                  <w:tcBorders>
                    <w:tl2br w:val="nil"/>
                    <w:tr2bl w:val="nil"/>
                  </w:tcBorders>
                  <w:vAlign w:val="center"/>
                </w:tcPr>
                <w:p>
                  <w:pPr>
                    <w:pStyle w:val="44"/>
                    <w:rPr>
                      <w:rFonts w:hint="eastAsia" w:ascii="Times New Roman" w:hAnsi="Times New Roman" w:eastAsia="宋体" w:cs="Times New Roman"/>
                      <w:sz w:val="21"/>
                      <w:lang w:eastAsia="zh-CN"/>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1613"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715"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生活</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生活污水排入厂区自建防渗旱厕，定期清掏，用作农家肥</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废气处理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木材加工区配备单机布袋除尘器；封边上胶系统设置集气装置，经15米高排气筒排放</w:t>
                  </w:r>
                </w:p>
              </w:tc>
              <w:tc>
                <w:tcPr>
                  <w:tcW w:w="2335" w:type="dxa"/>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未设置集中式布袋除尘器，采用单机布袋除尘器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固体处理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垃圾分类收集装置</w:t>
                  </w:r>
                </w:p>
              </w:tc>
              <w:tc>
                <w:tcPr>
                  <w:tcW w:w="2335" w:type="dxa"/>
                  <w:vMerge w:val="restart"/>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胶桶由供应商回收</w:t>
                  </w:r>
                </w:p>
              </w:tc>
              <w:tc>
                <w:tcPr>
                  <w:tcW w:w="2335" w:type="dxa"/>
                  <w:vMerge w:val="continue"/>
                  <w:tcBorders>
                    <w:tl2br w:val="nil"/>
                    <w:tr2bl w:val="nil"/>
                  </w:tcBorders>
                  <w:vAlign w:val="center"/>
                </w:tcPr>
                <w:p>
                  <w:pPr>
                    <w:pStyle w:val="44"/>
                    <w:rPr>
                      <w:rFonts w:hint="default" w:ascii="Times New Roman" w:hAnsi="Times New Roman"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3382" w:type="dxa"/>
                  <w:tcBorders>
                    <w:tl2br w:val="nil"/>
                    <w:tr2bl w:val="nil"/>
                  </w:tcBorders>
                  <w:shd w:val="clear" w:color="auto" w:fill="auto"/>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边角料回收，外卖处置</w:t>
                  </w:r>
                </w:p>
              </w:tc>
              <w:tc>
                <w:tcPr>
                  <w:tcW w:w="2335" w:type="dxa"/>
                  <w:vMerge w:val="continue"/>
                  <w:tcBorders>
                    <w:tl2br w:val="nil"/>
                    <w:tr2bl w:val="nil"/>
                  </w:tcBorders>
                  <w:vAlign w:val="center"/>
                </w:tcPr>
                <w:p>
                  <w:pPr>
                    <w:pStyle w:val="44"/>
                    <w:rPr>
                      <w:rFonts w:hint="default" w:ascii="Times New Roman" w:hAnsi="Times New Roman"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tcBorders>
                    <w:tl2br w:val="nil"/>
                    <w:tr2bl w:val="nil"/>
                  </w:tcBorders>
                  <w:shd w:val="clear" w:color="auto" w:fill="auto"/>
                  <w:vAlign w:val="center"/>
                </w:tcPr>
                <w:p>
                  <w:pPr>
                    <w:pStyle w:val="44"/>
                    <w:rPr>
                      <w:rFonts w:hint="eastAsia" w:ascii="Times New Roman" w:hAnsi="Times New Roman" w:cs="Times New Roman" w:eastAsiaTheme="minorEastAsia"/>
                      <w:lang w:eastAsia="zh-CN"/>
                    </w:rPr>
                  </w:pPr>
                  <w:r>
                    <w:rPr>
                      <w:rFonts w:hint="eastAsia" w:ascii="Times New Roman" w:hAnsi="Times New Roman" w:cs="Times New Roman"/>
                      <w:sz w:val="21"/>
                      <w:szCs w:val="18"/>
                      <w:lang w:eastAsia="zh-CN"/>
                    </w:rPr>
                    <w:t>噪声处理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对产噪设备进行减振处理，确保厂界处噪声能够满足相关声功能区标准要求</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bl>
          <w:p>
            <w:pPr>
              <w:spacing w:before="62" w:beforeLines="20" w:line="360" w:lineRule="auto"/>
              <w:rPr>
                <w:rFonts w:hint="eastAsia" w:ascii="宋体" w:hAnsi="宋体" w:eastAsia="宋体"/>
                <w:color w:val="000000"/>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704" w:hRule="atLeast"/>
          <w:jc w:val="center"/>
        </w:trPr>
        <w:tc>
          <w:tcPr>
            <w:tcW w:w="9388" w:type="dxa"/>
          </w:tcPr>
          <w:p>
            <w:pPr>
              <w:spacing w:line="360" w:lineRule="auto"/>
              <w:ind w:firstLine="480" w:firstLineChars="200"/>
              <w:rPr>
                <w:sz w:val="24"/>
              </w:rPr>
            </w:pPr>
            <w:r>
              <w:rPr>
                <w:rFonts w:hint="eastAsia"/>
                <w:sz w:val="24"/>
              </w:rPr>
              <w:t>3、产品方案和生产规模</w:t>
            </w:r>
          </w:p>
          <w:p>
            <w:pPr>
              <w:spacing w:before="62" w:beforeLines="20" w:line="360" w:lineRule="auto"/>
              <w:ind w:firstLine="480" w:firstLineChars="200"/>
              <w:rPr>
                <w:rFonts w:hint="eastAsia" w:ascii="宋体" w:hAnsi="宋体" w:eastAsia="宋体"/>
                <w:color w:val="000000"/>
                <w:sz w:val="24"/>
                <w:lang w:eastAsia="zh-CN"/>
              </w:rPr>
            </w:pPr>
            <w:r>
              <w:rPr>
                <w:rFonts w:hint="eastAsia" w:ascii="宋体" w:hAnsi="宋体"/>
                <w:sz w:val="24"/>
                <w:lang w:eastAsia="zh-CN"/>
              </w:rPr>
              <w:t>本项目主要从事木质家具生产</w:t>
            </w:r>
            <w:r>
              <w:rPr>
                <w:rFonts w:hint="default" w:ascii="Times New Roman" w:hAnsi="Times New Roman" w:cs="Times New Roman"/>
                <w:sz w:val="24"/>
                <w:lang w:eastAsia="zh-CN"/>
              </w:rPr>
              <w:t>，</w:t>
            </w:r>
            <w:r>
              <w:rPr>
                <w:rFonts w:hint="default" w:ascii="Times New Roman" w:hAnsi="Times New Roman" w:eastAsia="宋体" w:cs="Times New Roman"/>
                <w:sz w:val="24"/>
                <w:lang w:val="en-US" w:eastAsia="zh-CN"/>
              </w:rPr>
              <w:t>年产</w:t>
            </w:r>
            <w:r>
              <w:rPr>
                <w:rFonts w:hint="eastAsia" w:cs="Times New Roman"/>
                <w:sz w:val="24"/>
                <w:lang w:val="en-US" w:eastAsia="zh-CN"/>
              </w:rPr>
              <w:t>免漆强化木门4000套</w:t>
            </w:r>
            <w:r>
              <w:rPr>
                <w:rFonts w:hint="default" w:ascii="Times New Roman" w:hAnsi="Times New Roman" w:cs="Times New Roman"/>
                <w:sz w:val="24"/>
              </w:rPr>
              <w:t>。</w:t>
            </w:r>
          </w:p>
          <w:p>
            <w:pPr>
              <w:ind w:firstLine="4006" w:firstLineChars="1900"/>
              <w:jc w:val="both"/>
              <w:rPr>
                <w:rFonts w:ascii="宋体" w:hAnsi="宋体"/>
                <w:b/>
                <w:bCs/>
                <w:sz w:val="21"/>
                <w:szCs w:val="21"/>
                <w:u w:val="none"/>
              </w:rPr>
            </w:pPr>
            <w:r>
              <w:rPr>
                <w:rFonts w:hint="eastAsia" w:ascii="宋体" w:hAnsi="宋体"/>
                <w:b/>
                <w:bCs/>
                <w:sz w:val="21"/>
                <w:szCs w:val="21"/>
                <w:u w:val="none"/>
                <w:lang w:eastAsia="zh-CN"/>
              </w:rPr>
              <w:t>主要产品方案</w:t>
            </w:r>
          </w:p>
          <w:tbl>
            <w:tblPr>
              <w:tblStyle w:val="27"/>
              <w:tblW w:w="91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75"/>
              <w:gridCol w:w="2033"/>
              <w:gridCol w:w="3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tcBorders>
                    <w:tl2br w:val="nil"/>
                    <w:tr2bl w:val="nil"/>
                  </w:tcBorders>
                  <w:vAlign w:val="center"/>
                </w:tcPr>
                <w:p>
                  <w:pPr>
                    <w:jc w:val="center"/>
                    <w:rPr>
                      <w:i w:val="0"/>
                      <w:iCs w:val="0"/>
                      <w:u w:val="none"/>
                    </w:rPr>
                  </w:pPr>
                  <w:r>
                    <w:rPr>
                      <w:rFonts w:hint="eastAsia"/>
                      <w:i w:val="0"/>
                      <w:iCs w:val="0"/>
                      <w:u w:val="none"/>
                    </w:rPr>
                    <w:t>序号</w:t>
                  </w:r>
                </w:p>
              </w:tc>
              <w:tc>
                <w:tcPr>
                  <w:tcW w:w="2775" w:type="dxa"/>
                  <w:tcBorders>
                    <w:tl2br w:val="nil"/>
                    <w:tr2bl w:val="nil"/>
                  </w:tcBorders>
                  <w:vAlign w:val="center"/>
                </w:tcPr>
                <w:p>
                  <w:pPr>
                    <w:jc w:val="center"/>
                    <w:rPr>
                      <w:i w:val="0"/>
                      <w:iCs w:val="0"/>
                      <w:u w:val="none"/>
                    </w:rPr>
                  </w:pPr>
                  <w:r>
                    <w:rPr>
                      <w:rFonts w:hint="eastAsia"/>
                      <w:i w:val="0"/>
                      <w:iCs w:val="0"/>
                      <w:u w:val="none"/>
                    </w:rPr>
                    <w:t>名   称</w:t>
                  </w:r>
                </w:p>
              </w:tc>
              <w:tc>
                <w:tcPr>
                  <w:tcW w:w="2033" w:type="dxa"/>
                  <w:tcBorders>
                    <w:tl2br w:val="nil"/>
                    <w:tr2bl w:val="nil"/>
                  </w:tcBorders>
                  <w:vAlign w:val="center"/>
                </w:tcPr>
                <w:p>
                  <w:pPr>
                    <w:jc w:val="center"/>
                    <w:rPr>
                      <w:i w:val="0"/>
                      <w:iCs w:val="0"/>
                      <w:u w:val="none"/>
                    </w:rPr>
                  </w:pPr>
                  <w:r>
                    <w:rPr>
                      <w:rFonts w:hint="eastAsia"/>
                      <w:i w:val="0"/>
                      <w:iCs w:val="0"/>
                      <w:u w:val="none"/>
                    </w:rPr>
                    <w:t>年产量</w:t>
                  </w:r>
                </w:p>
              </w:tc>
              <w:tc>
                <w:tcPr>
                  <w:tcW w:w="3097"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tcBorders>
                    <w:tl2br w:val="nil"/>
                    <w:tr2bl w:val="nil"/>
                  </w:tcBorders>
                  <w:vAlign w:val="center"/>
                </w:tcPr>
                <w:p>
                  <w:pPr>
                    <w:jc w:val="center"/>
                    <w:rPr>
                      <w:i w:val="0"/>
                      <w:iCs w:val="0"/>
                      <w:u w:val="none"/>
                    </w:rPr>
                  </w:pPr>
                  <w:r>
                    <w:rPr>
                      <w:rFonts w:hint="eastAsia"/>
                      <w:i w:val="0"/>
                      <w:iCs w:val="0"/>
                      <w:u w:val="none"/>
                    </w:rPr>
                    <w:t>1</w:t>
                  </w:r>
                </w:p>
              </w:tc>
              <w:tc>
                <w:tcPr>
                  <w:tcW w:w="2775"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免漆强化木门</w:t>
                  </w:r>
                </w:p>
              </w:tc>
              <w:tc>
                <w:tcPr>
                  <w:tcW w:w="2033" w:type="dxa"/>
                  <w:tcBorders>
                    <w:tl2br w:val="nil"/>
                    <w:tr2bl w:val="nil"/>
                  </w:tcBorders>
                  <w:vAlign w:val="center"/>
                </w:tcPr>
                <w:p>
                  <w:pPr>
                    <w:jc w:val="center"/>
                    <w:rPr>
                      <w:rFonts w:hint="default" w:eastAsia="宋体"/>
                      <w:i w:val="0"/>
                      <w:iCs w:val="0"/>
                      <w:u w:val="none"/>
                      <w:lang w:val="en-US" w:eastAsia="zh-CN"/>
                    </w:rPr>
                  </w:pPr>
                  <w:r>
                    <w:rPr>
                      <w:rFonts w:hint="eastAsia"/>
                      <w:i w:val="0"/>
                      <w:iCs w:val="0"/>
                      <w:u w:val="none"/>
                      <w:lang w:val="en-US" w:eastAsia="zh-CN"/>
                    </w:rPr>
                    <w:t>4000套</w:t>
                  </w:r>
                </w:p>
              </w:tc>
              <w:tc>
                <w:tcPr>
                  <w:tcW w:w="3097"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根据订单要求制作相应规格</w:t>
                  </w:r>
                </w:p>
              </w:tc>
            </w:tr>
          </w:tbl>
          <w:p>
            <w:pPr>
              <w:spacing w:before="62" w:beforeLines="20" w:line="360" w:lineRule="auto"/>
              <w:rPr>
                <w:rFonts w:ascii="宋体" w:hAnsi="宋体"/>
                <w:b/>
                <w:bCs/>
                <w:color w:val="000000"/>
                <w:sz w:val="24"/>
              </w:rPr>
            </w:pPr>
            <w:r>
              <w:rPr>
                <w:rFonts w:hint="eastAsia" w:ascii="宋体" w:hAnsi="宋体"/>
                <w:b/>
                <w:bCs/>
                <w:color w:val="000000"/>
                <w:sz w:val="24"/>
              </w:rPr>
              <w:t>原辅材料消耗及水平衡：</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1、原辅材料消耗</w:t>
            </w:r>
          </w:p>
          <w:p>
            <w:pPr>
              <w:adjustRightInd w:val="0"/>
              <w:snapToGrid w:val="0"/>
              <w:jc w:val="center"/>
              <w:rPr>
                <w:rFonts w:hint="eastAsia" w:ascii="宋体" w:hAnsi="宋体" w:cs="宋体"/>
                <w:b/>
                <w:bCs/>
                <w:sz w:val="24"/>
                <w:szCs w:val="24"/>
              </w:rPr>
            </w:pPr>
            <w:r>
              <w:rPr>
                <w:rFonts w:hint="eastAsia" w:ascii="宋体" w:hAnsi="宋体" w:cs="宋体"/>
                <w:b/>
                <w:bCs/>
                <w:sz w:val="24"/>
                <w:szCs w:val="24"/>
              </w:rPr>
              <w:t xml:space="preserve"> 主要原辅材料消耗情况表</w:t>
            </w:r>
          </w:p>
          <w:tbl>
            <w:tblPr>
              <w:tblStyle w:val="26"/>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229"/>
              <w:gridCol w:w="729"/>
              <w:gridCol w:w="2074"/>
              <w:gridCol w:w="1023"/>
              <w:gridCol w:w="1078"/>
              <w:gridCol w:w="916"/>
              <w:gridCol w:w="2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序  号</w:t>
                  </w:r>
                </w:p>
              </w:tc>
              <w:tc>
                <w:tcPr>
                  <w:tcW w:w="2803" w:type="dxa"/>
                  <w:gridSpan w:val="2"/>
                  <w:vAlign w:val="center"/>
                </w:tcPr>
                <w:p>
                  <w:pPr>
                    <w:pStyle w:val="72"/>
                    <w:jc w:val="center"/>
                    <w:rPr>
                      <w:sz w:val="21"/>
                      <w:szCs w:val="21"/>
                    </w:rPr>
                  </w:pPr>
                  <w:r>
                    <w:rPr>
                      <w:rFonts w:hint="eastAsia"/>
                      <w:sz w:val="21"/>
                      <w:szCs w:val="21"/>
                    </w:rPr>
                    <w:t>名  称</w:t>
                  </w:r>
                </w:p>
              </w:tc>
              <w:tc>
                <w:tcPr>
                  <w:tcW w:w="1023" w:type="dxa"/>
                  <w:vAlign w:val="center"/>
                </w:tcPr>
                <w:p>
                  <w:pPr>
                    <w:pStyle w:val="72"/>
                    <w:jc w:val="center"/>
                    <w:rPr>
                      <w:sz w:val="21"/>
                      <w:szCs w:val="21"/>
                    </w:rPr>
                  </w:pPr>
                  <w:r>
                    <w:rPr>
                      <w:rFonts w:hint="eastAsia"/>
                      <w:sz w:val="21"/>
                      <w:szCs w:val="21"/>
                    </w:rPr>
                    <w:t>单  位</w:t>
                  </w:r>
                </w:p>
              </w:tc>
              <w:tc>
                <w:tcPr>
                  <w:tcW w:w="1078" w:type="dxa"/>
                  <w:vAlign w:val="center"/>
                </w:tcPr>
                <w:p>
                  <w:pPr>
                    <w:pStyle w:val="72"/>
                    <w:jc w:val="center"/>
                    <w:rPr>
                      <w:sz w:val="21"/>
                      <w:szCs w:val="21"/>
                    </w:rPr>
                  </w:pPr>
                  <w:r>
                    <w:rPr>
                      <w:rFonts w:hint="eastAsia"/>
                      <w:sz w:val="21"/>
                      <w:szCs w:val="21"/>
                    </w:rPr>
                    <w:t>数 量</w:t>
                  </w:r>
                </w:p>
              </w:tc>
              <w:tc>
                <w:tcPr>
                  <w:tcW w:w="916" w:type="dxa"/>
                  <w:vAlign w:val="center"/>
                </w:tcPr>
                <w:p>
                  <w:pPr>
                    <w:pStyle w:val="72"/>
                    <w:jc w:val="center"/>
                    <w:rPr>
                      <w:sz w:val="21"/>
                      <w:szCs w:val="21"/>
                    </w:rPr>
                  </w:pPr>
                  <w:r>
                    <w:rPr>
                      <w:rFonts w:hint="eastAsia"/>
                      <w:sz w:val="21"/>
                      <w:szCs w:val="21"/>
                    </w:rPr>
                    <w:t>产地</w:t>
                  </w:r>
                </w:p>
              </w:tc>
              <w:tc>
                <w:tcPr>
                  <w:tcW w:w="2023" w:type="dxa"/>
                  <w:vAlign w:val="center"/>
                </w:tcPr>
                <w:p>
                  <w:pPr>
                    <w:pStyle w:val="72"/>
                    <w:jc w:val="center"/>
                    <w:rPr>
                      <w:sz w:val="21"/>
                      <w:szCs w:val="21"/>
                    </w:rPr>
                  </w:pPr>
                  <w:r>
                    <w:rPr>
                      <w:rFonts w:hint="eastAsia"/>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1</w:t>
                  </w:r>
                </w:p>
              </w:tc>
              <w:tc>
                <w:tcPr>
                  <w:tcW w:w="729" w:type="dxa"/>
                  <w:vMerge w:val="restart"/>
                  <w:vAlign w:val="center"/>
                </w:tcPr>
                <w:p>
                  <w:pPr>
                    <w:pStyle w:val="72"/>
                    <w:jc w:val="center"/>
                    <w:rPr>
                      <w:sz w:val="21"/>
                      <w:szCs w:val="21"/>
                    </w:rPr>
                  </w:pPr>
                  <w:r>
                    <w:rPr>
                      <w:rFonts w:hint="eastAsia"/>
                      <w:sz w:val="21"/>
                      <w:szCs w:val="21"/>
                    </w:rPr>
                    <w:t>原料</w:t>
                  </w:r>
                </w:p>
              </w:tc>
              <w:tc>
                <w:tcPr>
                  <w:tcW w:w="2074" w:type="dxa"/>
                  <w:vMerge w:val="restart"/>
                  <w:vAlign w:val="center"/>
                </w:tcPr>
                <w:p>
                  <w:pPr>
                    <w:pStyle w:val="72"/>
                    <w:jc w:val="center"/>
                    <w:rPr>
                      <w:sz w:val="21"/>
                      <w:szCs w:val="21"/>
                    </w:rPr>
                  </w:pPr>
                  <w:r>
                    <w:rPr>
                      <w:rFonts w:hint="eastAsia"/>
                      <w:sz w:val="21"/>
                      <w:szCs w:val="21"/>
                    </w:rPr>
                    <w:t>密度板</w:t>
                  </w:r>
                </w:p>
              </w:tc>
              <w:tc>
                <w:tcPr>
                  <w:tcW w:w="1023" w:type="dxa"/>
                  <w:vAlign w:val="center"/>
                </w:tcPr>
                <w:p>
                  <w:pPr>
                    <w:pStyle w:val="72"/>
                    <w:jc w:val="center"/>
                    <w:rPr>
                      <w:sz w:val="21"/>
                      <w:szCs w:val="21"/>
                    </w:rPr>
                  </w:pPr>
                  <w:r>
                    <w:rPr>
                      <w:rFonts w:hint="eastAsia"/>
                      <w:sz w:val="21"/>
                      <w:szCs w:val="21"/>
                    </w:rPr>
                    <w:t>张</w:t>
                  </w:r>
                </w:p>
              </w:tc>
              <w:tc>
                <w:tcPr>
                  <w:tcW w:w="1078" w:type="dxa"/>
                  <w:vAlign w:val="center"/>
                </w:tcPr>
                <w:p>
                  <w:pPr>
                    <w:pStyle w:val="72"/>
                    <w:jc w:val="center"/>
                    <w:rPr>
                      <w:sz w:val="21"/>
                      <w:szCs w:val="21"/>
                    </w:rPr>
                  </w:pPr>
                  <w:r>
                    <w:rPr>
                      <w:rFonts w:hint="eastAsia"/>
                      <w:sz w:val="21"/>
                      <w:szCs w:val="21"/>
                    </w:rPr>
                    <w:t>1000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2440*1220*40mm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2</w:t>
                  </w:r>
                </w:p>
              </w:tc>
              <w:tc>
                <w:tcPr>
                  <w:tcW w:w="729" w:type="dxa"/>
                  <w:vMerge w:val="continue"/>
                  <w:vAlign w:val="center"/>
                </w:tcPr>
                <w:p>
                  <w:pPr>
                    <w:pStyle w:val="72"/>
                    <w:jc w:val="center"/>
                    <w:rPr>
                      <w:sz w:val="21"/>
                      <w:szCs w:val="21"/>
                    </w:rPr>
                  </w:pPr>
                </w:p>
              </w:tc>
              <w:tc>
                <w:tcPr>
                  <w:tcW w:w="2074" w:type="dxa"/>
                  <w:vMerge w:val="continue"/>
                  <w:vAlign w:val="center"/>
                </w:tcPr>
                <w:p>
                  <w:pPr>
                    <w:pStyle w:val="72"/>
                    <w:jc w:val="center"/>
                    <w:rPr>
                      <w:sz w:val="21"/>
                      <w:szCs w:val="21"/>
                    </w:rPr>
                  </w:pPr>
                </w:p>
              </w:tc>
              <w:tc>
                <w:tcPr>
                  <w:tcW w:w="1023" w:type="dxa"/>
                  <w:vAlign w:val="center"/>
                </w:tcPr>
                <w:p>
                  <w:pPr>
                    <w:pStyle w:val="72"/>
                    <w:jc w:val="center"/>
                    <w:rPr>
                      <w:sz w:val="21"/>
                      <w:szCs w:val="21"/>
                    </w:rPr>
                  </w:pPr>
                  <w:r>
                    <w:rPr>
                      <w:rFonts w:hint="eastAsia"/>
                      <w:sz w:val="21"/>
                      <w:szCs w:val="21"/>
                    </w:rPr>
                    <w:t>张</w:t>
                  </w:r>
                </w:p>
              </w:tc>
              <w:tc>
                <w:tcPr>
                  <w:tcW w:w="1078" w:type="dxa"/>
                  <w:vAlign w:val="center"/>
                </w:tcPr>
                <w:p>
                  <w:pPr>
                    <w:pStyle w:val="72"/>
                    <w:jc w:val="center"/>
                    <w:rPr>
                      <w:sz w:val="21"/>
                      <w:szCs w:val="21"/>
                    </w:rPr>
                  </w:pPr>
                  <w:r>
                    <w:rPr>
                      <w:rFonts w:hint="eastAsia"/>
                      <w:sz w:val="21"/>
                      <w:szCs w:val="21"/>
                    </w:rPr>
                    <w:t>1000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2150*930*40mm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3</w:t>
                  </w:r>
                </w:p>
              </w:tc>
              <w:tc>
                <w:tcPr>
                  <w:tcW w:w="729" w:type="dxa"/>
                  <w:vMerge w:val="continue"/>
                  <w:vAlign w:val="center"/>
                </w:tcPr>
                <w:p>
                  <w:pPr>
                    <w:pStyle w:val="72"/>
                    <w:jc w:val="center"/>
                    <w:rPr>
                      <w:sz w:val="21"/>
                      <w:szCs w:val="21"/>
                    </w:rPr>
                  </w:pPr>
                </w:p>
              </w:tc>
              <w:tc>
                <w:tcPr>
                  <w:tcW w:w="2074" w:type="dxa"/>
                  <w:vAlign w:val="center"/>
                </w:tcPr>
                <w:p>
                  <w:pPr>
                    <w:pStyle w:val="72"/>
                    <w:jc w:val="center"/>
                    <w:rPr>
                      <w:sz w:val="21"/>
                      <w:szCs w:val="21"/>
                    </w:rPr>
                  </w:pPr>
                  <w:r>
                    <w:rPr>
                      <w:rFonts w:hint="eastAsia"/>
                      <w:sz w:val="21"/>
                      <w:szCs w:val="21"/>
                    </w:rPr>
                    <w:t>实木木块</w:t>
                  </w:r>
                </w:p>
              </w:tc>
              <w:tc>
                <w:tcPr>
                  <w:tcW w:w="1023" w:type="dxa"/>
                  <w:vAlign w:val="center"/>
                </w:tcPr>
                <w:p>
                  <w:pPr>
                    <w:pStyle w:val="72"/>
                    <w:jc w:val="center"/>
                    <w:rPr>
                      <w:sz w:val="21"/>
                      <w:szCs w:val="21"/>
                    </w:rPr>
                  </w:pPr>
                  <w:r>
                    <w:rPr>
                      <w:rFonts w:hint="eastAsia"/>
                      <w:sz w:val="21"/>
                      <w:szCs w:val="21"/>
                    </w:rPr>
                    <w:t>m</w:t>
                  </w:r>
                  <w:r>
                    <w:rPr>
                      <w:rFonts w:hint="eastAsia"/>
                      <w:sz w:val="21"/>
                      <w:szCs w:val="21"/>
                      <w:vertAlign w:val="superscript"/>
                    </w:rPr>
                    <w:t>3</w:t>
                  </w:r>
                </w:p>
              </w:tc>
              <w:tc>
                <w:tcPr>
                  <w:tcW w:w="1078" w:type="dxa"/>
                  <w:vAlign w:val="center"/>
                </w:tcPr>
                <w:p>
                  <w:pPr>
                    <w:pStyle w:val="72"/>
                    <w:jc w:val="center"/>
                    <w:rPr>
                      <w:sz w:val="21"/>
                      <w:szCs w:val="21"/>
                    </w:rPr>
                  </w:pPr>
                  <w:r>
                    <w:rPr>
                      <w:rFonts w:hint="eastAsia"/>
                      <w:sz w:val="21"/>
                      <w:szCs w:val="21"/>
                    </w:rPr>
                    <w:t>36</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规格0.75t/m</w:t>
                  </w:r>
                  <w:r>
                    <w:rPr>
                      <w:rFonts w:hint="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4</w:t>
                  </w:r>
                </w:p>
              </w:tc>
              <w:tc>
                <w:tcPr>
                  <w:tcW w:w="729" w:type="dxa"/>
                  <w:vMerge w:val="restart"/>
                  <w:vAlign w:val="center"/>
                </w:tcPr>
                <w:p>
                  <w:pPr>
                    <w:pStyle w:val="72"/>
                    <w:jc w:val="center"/>
                    <w:rPr>
                      <w:sz w:val="21"/>
                      <w:szCs w:val="21"/>
                    </w:rPr>
                  </w:pPr>
                  <w:r>
                    <w:rPr>
                      <w:rFonts w:hint="eastAsia"/>
                      <w:sz w:val="21"/>
                      <w:szCs w:val="21"/>
                    </w:rPr>
                    <w:t>辅料</w:t>
                  </w:r>
                </w:p>
              </w:tc>
              <w:tc>
                <w:tcPr>
                  <w:tcW w:w="2074" w:type="dxa"/>
                  <w:vAlign w:val="center"/>
                </w:tcPr>
                <w:p>
                  <w:pPr>
                    <w:pStyle w:val="72"/>
                    <w:jc w:val="center"/>
                    <w:rPr>
                      <w:sz w:val="21"/>
                      <w:szCs w:val="21"/>
                    </w:rPr>
                  </w:pPr>
                  <w:r>
                    <w:rPr>
                      <w:rFonts w:hint="eastAsia"/>
                      <w:sz w:val="21"/>
                      <w:szCs w:val="21"/>
                    </w:rPr>
                    <w:t>乳白胶（25kg/桶）</w:t>
                  </w:r>
                </w:p>
              </w:tc>
              <w:tc>
                <w:tcPr>
                  <w:tcW w:w="1023" w:type="dxa"/>
                  <w:vAlign w:val="center"/>
                </w:tcPr>
                <w:p>
                  <w:pPr>
                    <w:pStyle w:val="72"/>
                    <w:jc w:val="center"/>
                    <w:rPr>
                      <w:sz w:val="21"/>
                      <w:szCs w:val="21"/>
                    </w:rPr>
                  </w:pPr>
                  <w:r>
                    <w:rPr>
                      <w:rFonts w:hint="eastAsia"/>
                      <w:sz w:val="21"/>
                      <w:szCs w:val="21"/>
                    </w:rPr>
                    <w:t>桶</w:t>
                  </w:r>
                </w:p>
              </w:tc>
              <w:tc>
                <w:tcPr>
                  <w:tcW w:w="1078" w:type="dxa"/>
                  <w:vAlign w:val="center"/>
                </w:tcPr>
                <w:p>
                  <w:pPr>
                    <w:pStyle w:val="72"/>
                    <w:jc w:val="center"/>
                    <w:rPr>
                      <w:sz w:val="21"/>
                      <w:szCs w:val="21"/>
                    </w:rPr>
                  </w:pPr>
                  <w:r>
                    <w:rPr>
                      <w:rFonts w:hint="eastAsia"/>
                      <w:sz w:val="21"/>
                      <w:szCs w:val="21"/>
                    </w:rPr>
                    <w:t>100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5</w:t>
                  </w:r>
                </w:p>
              </w:tc>
              <w:tc>
                <w:tcPr>
                  <w:tcW w:w="729" w:type="dxa"/>
                  <w:vMerge w:val="continue"/>
                  <w:vAlign w:val="center"/>
                </w:tcPr>
                <w:p>
                  <w:pPr>
                    <w:pStyle w:val="72"/>
                    <w:jc w:val="center"/>
                    <w:rPr>
                      <w:sz w:val="21"/>
                      <w:szCs w:val="21"/>
                    </w:rPr>
                  </w:pPr>
                </w:p>
              </w:tc>
              <w:tc>
                <w:tcPr>
                  <w:tcW w:w="2074" w:type="dxa"/>
                  <w:vAlign w:val="center"/>
                </w:tcPr>
                <w:p>
                  <w:pPr>
                    <w:pStyle w:val="72"/>
                    <w:jc w:val="center"/>
                    <w:rPr>
                      <w:sz w:val="21"/>
                      <w:szCs w:val="21"/>
                    </w:rPr>
                  </w:pPr>
                  <w:r>
                    <w:rPr>
                      <w:rFonts w:hint="eastAsia"/>
                      <w:sz w:val="21"/>
                      <w:szCs w:val="21"/>
                    </w:rPr>
                    <w:t>热熔胶（25kg/袋）</w:t>
                  </w:r>
                </w:p>
              </w:tc>
              <w:tc>
                <w:tcPr>
                  <w:tcW w:w="1023" w:type="dxa"/>
                  <w:vAlign w:val="center"/>
                </w:tcPr>
                <w:p>
                  <w:pPr>
                    <w:pStyle w:val="72"/>
                    <w:jc w:val="center"/>
                    <w:rPr>
                      <w:sz w:val="21"/>
                      <w:szCs w:val="21"/>
                    </w:rPr>
                  </w:pPr>
                  <w:r>
                    <w:rPr>
                      <w:rFonts w:hint="eastAsia"/>
                      <w:sz w:val="21"/>
                      <w:szCs w:val="21"/>
                    </w:rPr>
                    <w:t>袋</w:t>
                  </w:r>
                </w:p>
              </w:tc>
              <w:tc>
                <w:tcPr>
                  <w:tcW w:w="1078" w:type="dxa"/>
                  <w:vAlign w:val="center"/>
                </w:tcPr>
                <w:p>
                  <w:pPr>
                    <w:pStyle w:val="72"/>
                    <w:jc w:val="center"/>
                    <w:rPr>
                      <w:sz w:val="21"/>
                      <w:szCs w:val="21"/>
                    </w:rPr>
                  </w:pPr>
                  <w:r>
                    <w:rPr>
                      <w:rFonts w:hint="eastAsia"/>
                      <w:sz w:val="21"/>
                      <w:szCs w:val="21"/>
                    </w:rPr>
                    <w:t>30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颗粒状</w:t>
                  </w:r>
                </w:p>
              </w:tc>
            </w:tr>
          </w:tbl>
          <w:p>
            <w:pPr>
              <w:pStyle w:val="55"/>
              <w:numPr>
                <w:ilvl w:val="0"/>
                <w:numId w:val="3"/>
              </w:numPr>
              <w:rPr>
                <w:rFonts w:hint="eastAsia"/>
                <w:szCs w:val="28"/>
                <w:lang w:val="en-US" w:eastAsia="zh-CN"/>
              </w:rPr>
            </w:pPr>
            <w:r>
              <w:rPr>
                <w:rFonts w:hint="eastAsia"/>
                <w:szCs w:val="28"/>
                <w:lang w:val="en-US" w:eastAsia="zh-CN"/>
              </w:rPr>
              <w:t>主要生产设备</w:t>
            </w:r>
          </w:p>
          <w:p>
            <w:pPr>
              <w:adjustRightInd w:val="0"/>
              <w:snapToGrid w:val="0"/>
              <w:jc w:val="center"/>
              <w:rPr>
                <w:rFonts w:hint="eastAsia" w:ascii="宋体" w:hAnsi="宋体"/>
                <w:b/>
                <w:color w:val="000000"/>
                <w:sz w:val="24"/>
              </w:rPr>
            </w:pPr>
            <w:r>
              <w:rPr>
                <w:rFonts w:hint="eastAsia" w:ascii="宋体" w:hAnsi="宋体"/>
                <w:b/>
                <w:color w:val="000000"/>
                <w:sz w:val="24"/>
              </w:rPr>
              <w:t>主要生产设备一览表</w:t>
            </w:r>
          </w:p>
          <w:tbl>
            <w:tblPr>
              <w:tblStyle w:val="26"/>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795"/>
              <w:gridCol w:w="2010"/>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242" w:type="dxa"/>
                  <w:vAlign w:val="center"/>
                </w:tcPr>
                <w:p>
                  <w:pPr>
                    <w:pStyle w:val="19"/>
                    <w:rPr>
                      <w:lang w:val="zh-CN"/>
                    </w:rPr>
                  </w:pPr>
                  <w:r>
                    <w:rPr>
                      <w:rFonts w:hint="eastAsia"/>
                      <w:lang w:val="zh-CN"/>
                    </w:rPr>
                    <w:t>序号</w:t>
                  </w:r>
                </w:p>
              </w:tc>
              <w:tc>
                <w:tcPr>
                  <w:tcW w:w="3795" w:type="dxa"/>
                  <w:vAlign w:val="center"/>
                </w:tcPr>
                <w:p>
                  <w:pPr>
                    <w:pStyle w:val="19"/>
                    <w:rPr>
                      <w:lang w:val="zh-CN"/>
                    </w:rPr>
                  </w:pPr>
                  <w:r>
                    <w:rPr>
                      <w:rFonts w:hint="eastAsia"/>
                      <w:lang w:val="zh-CN"/>
                    </w:rPr>
                    <w:t>设备名称</w:t>
                  </w:r>
                </w:p>
              </w:tc>
              <w:tc>
                <w:tcPr>
                  <w:tcW w:w="2010" w:type="dxa"/>
                  <w:vAlign w:val="center"/>
                </w:tcPr>
                <w:p>
                  <w:pPr>
                    <w:pStyle w:val="19"/>
                    <w:rPr>
                      <w:lang w:val="zh-CN"/>
                    </w:rPr>
                  </w:pPr>
                  <w:r>
                    <w:rPr>
                      <w:rFonts w:hint="eastAsia"/>
                      <w:lang w:val="zh-CN"/>
                    </w:rPr>
                    <w:t>单位</w:t>
                  </w:r>
                </w:p>
              </w:tc>
              <w:tc>
                <w:tcPr>
                  <w:tcW w:w="2025" w:type="dxa"/>
                  <w:vAlign w:val="center"/>
                </w:tcPr>
                <w:p>
                  <w:pPr>
                    <w:pStyle w:val="19"/>
                    <w:rPr>
                      <w:lang w:val="zh-CN"/>
                    </w:rPr>
                  </w:pPr>
                  <w:r>
                    <w:rPr>
                      <w:rFonts w:hint="eastAsia"/>
                      <w:lang w:val="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42" w:type="dxa"/>
                  <w:vAlign w:val="center"/>
                </w:tcPr>
                <w:p>
                  <w:pPr>
                    <w:pStyle w:val="19"/>
                    <w:rPr>
                      <w:lang w:val="zh-CN"/>
                    </w:rPr>
                  </w:pPr>
                  <w:r>
                    <w:rPr>
                      <w:rFonts w:hint="eastAsia"/>
                      <w:lang w:val="zh-CN"/>
                    </w:rPr>
                    <w:t>1</w:t>
                  </w:r>
                </w:p>
              </w:tc>
              <w:tc>
                <w:tcPr>
                  <w:tcW w:w="3795" w:type="dxa"/>
                  <w:vAlign w:val="center"/>
                </w:tcPr>
                <w:p>
                  <w:pPr>
                    <w:pStyle w:val="19"/>
                    <w:rPr>
                      <w:lang w:val="zh-CN"/>
                    </w:rPr>
                  </w:pPr>
                  <w:r>
                    <w:rPr>
                      <w:rFonts w:hint="eastAsia"/>
                      <w:lang w:val="zh-CN"/>
                    </w:rPr>
                    <w:t>拼板机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242" w:type="dxa"/>
                  <w:vAlign w:val="center"/>
                </w:tcPr>
                <w:p>
                  <w:pPr>
                    <w:pStyle w:val="19"/>
                    <w:rPr>
                      <w:lang w:val="zh-CN"/>
                    </w:rPr>
                  </w:pPr>
                  <w:bookmarkStart w:id="0" w:name="OLE_LINK72" w:colFirst="0" w:colLast="0"/>
                  <w:bookmarkStart w:id="1" w:name="OLE_LINK48" w:colFirst="0" w:colLast="0"/>
                  <w:r>
                    <w:rPr>
                      <w:rFonts w:hint="eastAsia"/>
                    </w:rPr>
                    <w:t>2</w:t>
                  </w:r>
                </w:p>
              </w:tc>
              <w:tc>
                <w:tcPr>
                  <w:tcW w:w="3795" w:type="dxa"/>
                  <w:vAlign w:val="center"/>
                </w:tcPr>
                <w:p>
                  <w:pPr>
                    <w:pStyle w:val="19"/>
                    <w:rPr>
                      <w:lang w:val="zh-CN"/>
                    </w:rPr>
                  </w:pPr>
                  <w:r>
                    <w:rPr>
                      <w:rFonts w:hint="eastAsia"/>
                      <w:lang w:val="zh-CN"/>
                    </w:rPr>
                    <w:t>锯床</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42" w:type="dxa"/>
                  <w:vAlign w:val="center"/>
                </w:tcPr>
                <w:p>
                  <w:pPr>
                    <w:pStyle w:val="19"/>
                    <w:rPr>
                      <w:lang w:val="zh-CN"/>
                    </w:rPr>
                  </w:pPr>
                  <w:r>
                    <w:rPr>
                      <w:rFonts w:hint="eastAsia"/>
                      <w:lang w:val="zh-CN"/>
                    </w:rPr>
                    <w:t>3</w:t>
                  </w:r>
                </w:p>
              </w:tc>
              <w:tc>
                <w:tcPr>
                  <w:tcW w:w="3795" w:type="dxa"/>
                  <w:vAlign w:val="center"/>
                </w:tcPr>
                <w:p>
                  <w:pPr>
                    <w:pStyle w:val="19"/>
                    <w:rPr>
                      <w:lang w:val="zh-CN"/>
                    </w:rPr>
                  </w:pPr>
                  <w:r>
                    <w:rPr>
                      <w:rFonts w:hint="eastAsia"/>
                      <w:lang w:val="zh-CN"/>
                    </w:rPr>
                    <w:t>切角机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242" w:type="dxa"/>
                  <w:vAlign w:val="center"/>
                </w:tcPr>
                <w:p>
                  <w:pPr>
                    <w:pStyle w:val="19"/>
                    <w:rPr>
                      <w:lang w:val="zh-CN"/>
                    </w:rPr>
                  </w:pPr>
                  <w:r>
                    <w:rPr>
                      <w:rFonts w:hint="eastAsia"/>
                      <w:lang w:val="zh-CN"/>
                    </w:rPr>
                    <w:t>4</w:t>
                  </w:r>
                </w:p>
              </w:tc>
              <w:tc>
                <w:tcPr>
                  <w:tcW w:w="3795" w:type="dxa"/>
                  <w:vAlign w:val="center"/>
                </w:tcPr>
                <w:p>
                  <w:pPr>
                    <w:pStyle w:val="19"/>
                    <w:rPr>
                      <w:lang w:val="zh-CN"/>
                    </w:rPr>
                  </w:pPr>
                  <w:r>
                    <w:rPr>
                      <w:rFonts w:hint="eastAsia"/>
                      <w:lang w:val="zh-CN"/>
                    </w:rPr>
                    <w:t>砂光机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bookmarkEnd w:id="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42" w:type="dxa"/>
                  <w:vAlign w:val="center"/>
                </w:tcPr>
                <w:p>
                  <w:pPr>
                    <w:pStyle w:val="19"/>
                    <w:rPr>
                      <w:lang w:val="zh-CN"/>
                    </w:rPr>
                  </w:pPr>
                  <w:r>
                    <w:rPr>
                      <w:rFonts w:hint="eastAsia"/>
                      <w:lang w:val="zh-CN"/>
                    </w:rPr>
                    <w:t>5</w:t>
                  </w:r>
                </w:p>
              </w:tc>
              <w:tc>
                <w:tcPr>
                  <w:tcW w:w="3795" w:type="dxa"/>
                  <w:vAlign w:val="center"/>
                </w:tcPr>
                <w:p>
                  <w:pPr>
                    <w:pStyle w:val="19"/>
                    <w:rPr>
                      <w:lang w:val="zh-CN"/>
                    </w:rPr>
                  </w:pPr>
                  <w:r>
                    <w:rPr>
                      <w:rFonts w:hint="eastAsia"/>
                      <w:lang w:val="zh-CN"/>
                    </w:rPr>
                    <w:t>雕刻机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42" w:type="dxa"/>
                  <w:vAlign w:val="center"/>
                </w:tcPr>
                <w:p>
                  <w:pPr>
                    <w:pStyle w:val="19"/>
                    <w:rPr>
                      <w:lang w:val="zh-CN"/>
                    </w:rPr>
                  </w:pPr>
                  <w:bookmarkStart w:id="2" w:name="OLE_LINK73" w:colFirst="0" w:colLast="0"/>
                  <w:r>
                    <w:rPr>
                      <w:rFonts w:hint="eastAsia"/>
                    </w:rPr>
                    <w:t>6</w:t>
                  </w:r>
                </w:p>
              </w:tc>
              <w:tc>
                <w:tcPr>
                  <w:tcW w:w="3795" w:type="dxa"/>
                  <w:vAlign w:val="center"/>
                </w:tcPr>
                <w:p>
                  <w:pPr>
                    <w:pStyle w:val="19"/>
                    <w:rPr>
                      <w:lang w:val="zh-CN"/>
                    </w:rPr>
                  </w:pPr>
                  <w:r>
                    <w:rPr>
                      <w:rFonts w:hint="eastAsia"/>
                      <w:lang w:val="zh-CN"/>
                    </w:rPr>
                    <w:t>真空吸塑机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2" w:type="dxa"/>
                  <w:vAlign w:val="center"/>
                </w:tcPr>
                <w:p>
                  <w:pPr>
                    <w:pStyle w:val="19"/>
                    <w:rPr>
                      <w:lang w:val="zh-CN"/>
                    </w:rPr>
                  </w:pPr>
                  <w:r>
                    <w:rPr>
                      <w:rFonts w:hint="eastAsia"/>
                    </w:rPr>
                    <w:t>7</w:t>
                  </w:r>
                </w:p>
              </w:tc>
              <w:tc>
                <w:tcPr>
                  <w:tcW w:w="3795" w:type="dxa"/>
                  <w:vAlign w:val="center"/>
                </w:tcPr>
                <w:p>
                  <w:pPr>
                    <w:pStyle w:val="19"/>
                    <w:rPr>
                      <w:lang w:val="zh-CN"/>
                    </w:rPr>
                  </w:pPr>
                  <w:r>
                    <w:rPr>
                      <w:rFonts w:hint="eastAsia"/>
                      <w:lang w:val="zh-CN"/>
                    </w:rPr>
                    <w:t>封边机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242" w:type="dxa"/>
                  <w:vAlign w:val="center"/>
                </w:tcPr>
                <w:p>
                  <w:pPr>
                    <w:pStyle w:val="19"/>
                    <w:rPr>
                      <w:lang w:val="zh-CN"/>
                    </w:rPr>
                  </w:pPr>
                  <w:r>
                    <w:rPr>
                      <w:rFonts w:hint="eastAsia"/>
                      <w:lang w:val="zh-CN"/>
                    </w:rPr>
                    <w:t>8</w:t>
                  </w:r>
                </w:p>
              </w:tc>
              <w:tc>
                <w:tcPr>
                  <w:tcW w:w="3795" w:type="dxa"/>
                  <w:vAlign w:val="center"/>
                </w:tcPr>
                <w:p>
                  <w:pPr>
                    <w:pStyle w:val="19"/>
                    <w:rPr>
                      <w:lang w:val="zh-CN"/>
                    </w:rPr>
                  </w:pPr>
                  <w:r>
                    <w:rPr>
                      <w:rFonts w:hint="eastAsia"/>
                      <w:lang w:val="zh-CN"/>
                    </w:rPr>
                    <w:t>上胶机</w:t>
                  </w:r>
                </w:p>
              </w:tc>
              <w:tc>
                <w:tcPr>
                  <w:tcW w:w="2010" w:type="dxa"/>
                  <w:vAlign w:val="center"/>
                </w:tcPr>
                <w:p>
                  <w:pPr>
                    <w:pStyle w:val="19"/>
                  </w:pPr>
                  <w:r>
                    <w:rPr>
                      <w:rFonts w:hint="eastAsia"/>
                    </w:rPr>
                    <w:t>台</w:t>
                  </w:r>
                </w:p>
              </w:tc>
              <w:tc>
                <w:tcPr>
                  <w:tcW w:w="2025" w:type="dxa"/>
                  <w:vAlign w:val="center"/>
                </w:tcPr>
                <w:p>
                  <w:pPr>
                    <w:pStyle w:val="19"/>
                  </w:pPr>
                  <w:r>
                    <w:rPr>
                      <w:rFonts w:hint="eastAsia"/>
                    </w:rPr>
                    <w:t>1</w:t>
                  </w:r>
                </w:p>
              </w:tc>
            </w:tr>
            <w:bookmarkEnd w:id="1"/>
            <w:bookmarkEnd w:id="2"/>
          </w:tbl>
          <w:p>
            <w:pPr>
              <w:pStyle w:val="55"/>
              <w:numPr>
                <w:ilvl w:val="0"/>
                <w:numId w:val="3"/>
              </w:numPr>
              <w:ind w:left="0" w:leftChars="0" w:firstLine="480" w:firstLineChars="200"/>
              <w:rPr>
                <w:rFonts w:hint="eastAsia"/>
                <w:szCs w:val="28"/>
                <w:lang w:val="en-US" w:eastAsia="zh-CN"/>
              </w:rPr>
            </w:pPr>
            <w:r>
              <w:rPr>
                <w:rFonts w:hint="eastAsia"/>
                <w:szCs w:val="28"/>
                <w:lang w:val="en-US" w:eastAsia="zh-CN"/>
              </w:rPr>
              <w:t>主要构建筑物</w:t>
            </w:r>
          </w:p>
          <w:p>
            <w:pPr>
              <w:spacing w:line="240" w:lineRule="auto"/>
              <w:jc w:val="center"/>
              <w:rPr>
                <w:b/>
                <w:sz w:val="24"/>
                <w:szCs w:val="24"/>
              </w:rPr>
            </w:pPr>
            <w:r>
              <w:rPr>
                <w:rFonts w:hint="eastAsia"/>
                <w:b/>
                <w:sz w:val="24"/>
                <w:szCs w:val="24"/>
              </w:rPr>
              <w:t xml:space="preserve"> </w:t>
            </w:r>
            <w:r>
              <w:rPr>
                <w:b/>
                <w:sz w:val="24"/>
                <w:szCs w:val="24"/>
              </w:rPr>
              <w:t>项目建设内容组成一览表</w:t>
            </w:r>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567"/>
              <w:gridCol w:w="1549"/>
              <w:gridCol w:w="694"/>
              <w:gridCol w:w="201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77" w:type="dxa"/>
                  <w:tcBorders>
                    <w:top w:val="single" w:color="auto" w:sz="12" w:space="0"/>
                    <w:left w:val="nil"/>
                    <w:bottom w:val="single" w:color="auto" w:sz="4" w:space="0"/>
                    <w:right w:val="single" w:color="auto" w:sz="4" w:space="0"/>
                  </w:tcBorders>
                  <w:vAlign w:val="center"/>
                </w:tcPr>
                <w:p>
                  <w:pPr>
                    <w:pStyle w:val="19"/>
                  </w:pPr>
                  <w:r>
                    <w:rPr>
                      <w:rFonts w:hint="eastAsia"/>
                    </w:rPr>
                    <w:t>序号</w:t>
                  </w:r>
                </w:p>
              </w:tc>
              <w:tc>
                <w:tcPr>
                  <w:tcW w:w="1567" w:type="dxa"/>
                  <w:tcBorders>
                    <w:top w:val="single" w:color="auto" w:sz="12" w:space="0"/>
                    <w:left w:val="single" w:color="auto" w:sz="4" w:space="0"/>
                    <w:bottom w:val="single" w:color="auto" w:sz="4" w:space="0"/>
                    <w:right w:val="nil"/>
                  </w:tcBorders>
                  <w:vAlign w:val="center"/>
                </w:tcPr>
                <w:p>
                  <w:pPr>
                    <w:pStyle w:val="19"/>
                  </w:pPr>
                  <w:r>
                    <w:rPr>
                      <w:rFonts w:hint="eastAsia"/>
                    </w:rPr>
                    <w:t>建筑物名称</w:t>
                  </w:r>
                </w:p>
              </w:tc>
              <w:tc>
                <w:tcPr>
                  <w:tcW w:w="1549" w:type="dxa"/>
                  <w:tcBorders>
                    <w:top w:val="single" w:color="auto" w:sz="12" w:space="0"/>
                    <w:left w:val="single" w:color="auto" w:sz="4" w:space="0"/>
                    <w:bottom w:val="single" w:color="auto" w:sz="4" w:space="0"/>
                    <w:right w:val="nil"/>
                  </w:tcBorders>
                  <w:vAlign w:val="center"/>
                </w:tcPr>
                <w:p>
                  <w:pPr>
                    <w:pStyle w:val="19"/>
                  </w:pPr>
                  <w:r>
                    <w:rPr>
                      <w:rFonts w:hint="eastAsia"/>
                    </w:rPr>
                    <w:t>建筑面积（m</w:t>
                  </w:r>
                  <w:r>
                    <w:rPr>
                      <w:rFonts w:hint="eastAsia"/>
                      <w:vertAlign w:val="superscript"/>
                    </w:rPr>
                    <w:t>2</w:t>
                  </w:r>
                  <w:r>
                    <w:rPr>
                      <w:rFonts w:hint="eastAsia"/>
                    </w:rPr>
                    <w:t>）</w:t>
                  </w:r>
                </w:p>
              </w:tc>
              <w:tc>
                <w:tcPr>
                  <w:tcW w:w="694" w:type="dxa"/>
                  <w:tcBorders>
                    <w:top w:val="single" w:color="auto" w:sz="12" w:space="0"/>
                    <w:left w:val="single" w:color="auto" w:sz="4" w:space="0"/>
                    <w:bottom w:val="single" w:color="auto" w:sz="4" w:space="0"/>
                    <w:right w:val="nil"/>
                  </w:tcBorders>
                  <w:vAlign w:val="center"/>
                </w:tcPr>
                <w:p>
                  <w:pPr>
                    <w:pStyle w:val="19"/>
                  </w:pPr>
                  <w:r>
                    <w:rPr>
                      <w:rFonts w:hint="eastAsia"/>
                    </w:rPr>
                    <w:t>楼层</w:t>
                  </w:r>
                </w:p>
              </w:tc>
              <w:tc>
                <w:tcPr>
                  <w:tcW w:w="2010" w:type="dxa"/>
                  <w:tcBorders>
                    <w:top w:val="single" w:color="auto" w:sz="12" w:space="0"/>
                    <w:left w:val="single" w:color="auto" w:sz="4" w:space="0"/>
                    <w:bottom w:val="single" w:color="auto" w:sz="4" w:space="0"/>
                    <w:right w:val="nil"/>
                  </w:tcBorders>
                  <w:vAlign w:val="center"/>
                </w:tcPr>
                <w:p>
                  <w:pPr>
                    <w:pStyle w:val="19"/>
                  </w:pPr>
                  <w:r>
                    <w:rPr>
                      <w:rFonts w:hint="eastAsia"/>
                    </w:rPr>
                    <w:t>结构形式</w:t>
                  </w:r>
                </w:p>
              </w:tc>
              <w:tc>
                <w:tcPr>
                  <w:tcW w:w="2075" w:type="dxa"/>
                  <w:tcBorders>
                    <w:top w:val="single" w:color="auto" w:sz="12" w:space="0"/>
                    <w:left w:val="single" w:color="auto" w:sz="4" w:space="0"/>
                    <w:bottom w:val="single" w:color="auto" w:sz="4" w:space="0"/>
                    <w:right w:val="nil"/>
                  </w:tcBorders>
                  <w:vAlign w:val="center"/>
                </w:tcPr>
                <w:p>
                  <w:pPr>
                    <w:pStyle w:val="19"/>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tcBorders>
                    <w:top w:val="single" w:color="auto" w:sz="4" w:space="0"/>
                    <w:left w:val="nil"/>
                    <w:bottom w:val="single" w:color="auto" w:sz="4" w:space="0"/>
                    <w:right w:val="single" w:color="auto" w:sz="4" w:space="0"/>
                  </w:tcBorders>
                  <w:vAlign w:val="center"/>
                </w:tcPr>
                <w:p>
                  <w:pPr>
                    <w:pStyle w:val="19"/>
                  </w:pPr>
                  <w:r>
                    <w:rPr>
                      <w:rFonts w:hint="eastAsia"/>
                    </w:rPr>
                    <w:t>1</w:t>
                  </w:r>
                </w:p>
              </w:tc>
              <w:tc>
                <w:tcPr>
                  <w:tcW w:w="1567" w:type="dxa"/>
                  <w:tcBorders>
                    <w:top w:val="single" w:color="auto" w:sz="4" w:space="0"/>
                    <w:left w:val="single" w:color="auto" w:sz="4" w:space="0"/>
                    <w:bottom w:val="single" w:color="auto" w:sz="4" w:space="0"/>
                    <w:right w:val="nil"/>
                  </w:tcBorders>
                  <w:vAlign w:val="center"/>
                </w:tcPr>
                <w:p>
                  <w:pPr>
                    <w:pStyle w:val="19"/>
                  </w:pPr>
                  <w:r>
                    <w:rPr>
                      <w:rFonts w:hint="eastAsia"/>
                    </w:rPr>
                    <w:t>办公室</w:t>
                  </w:r>
                </w:p>
              </w:tc>
              <w:tc>
                <w:tcPr>
                  <w:tcW w:w="1549" w:type="dxa"/>
                  <w:tcBorders>
                    <w:top w:val="single" w:color="auto" w:sz="4" w:space="0"/>
                    <w:left w:val="single" w:color="auto" w:sz="4" w:space="0"/>
                    <w:bottom w:val="single" w:color="auto" w:sz="4" w:space="0"/>
                    <w:right w:val="nil"/>
                  </w:tcBorders>
                  <w:vAlign w:val="center"/>
                </w:tcPr>
                <w:p>
                  <w:pPr>
                    <w:pStyle w:val="19"/>
                  </w:pPr>
                  <w:r>
                    <w:rPr>
                      <w:rFonts w:hint="eastAsia"/>
                    </w:rPr>
                    <w:t>80</w:t>
                  </w:r>
                </w:p>
              </w:tc>
              <w:tc>
                <w:tcPr>
                  <w:tcW w:w="694" w:type="dxa"/>
                  <w:tcBorders>
                    <w:top w:val="single" w:color="auto" w:sz="4" w:space="0"/>
                    <w:left w:val="single" w:color="auto" w:sz="4" w:space="0"/>
                    <w:bottom w:val="single" w:color="auto" w:sz="4" w:space="0"/>
                    <w:right w:val="nil"/>
                  </w:tcBorders>
                  <w:vAlign w:val="center"/>
                </w:tcPr>
                <w:p>
                  <w:pPr>
                    <w:pStyle w:val="19"/>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19"/>
                  </w:pPr>
                  <w:r>
                    <w:rPr>
                      <w:rFonts w:hint="eastAsia"/>
                    </w:rPr>
                    <w:t>砌体结构</w:t>
                  </w:r>
                </w:p>
              </w:tc>
              <w:tc>
                <w:tcPr>
                  <w:tcW w:w="2075" w:type="dxa"/>
                  <w:tcBorders>
                    <w:top w:val="single" w:color="auto" w:sz="4" w:space="0"/>
                    <w:left w:val="single" w:color="auto" w:sz="4" w:space="0"/>
                    <w:bottom w:val="single" w:color="auto" w:sz="4" w:space="0"/>
                    <w:right w:val="nil"/>
                  </w:tcBorders>
                  <w:vAlign w:val="center"/>
                </w:tcPr>
                <w:p>
                  <w:pPr>
                    <w:pStyle w:val="1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tcBorders>
                    <w:top w:val="single" w:color="auto" w:sz="4" w:space="0"/>
                    <w:left w:val="nil"/>
                    <w:bottom w:val="single" w:color="auto" w:sz="4" w:space="0"/>
                    <w:right w:val="single" w:color="auto" w:sz="4" w:space="0"/>
                  </w:tcBorders>
                  <w:vAlign w:val="center"/>
                </w:tcPr>
                <w:p>
                  <w:pPr>
                    <w:pStyle w:val="19"/>
                  </w:pPr>
                  <w:r>
                    <w:rPr>
                      <w:rFonts w:hint="eastAsia"/>
                    </w:rPr>
                    <w:t>2</w:t>
                  </w:r>
                </w:p>
              </w:tc>
              <w:tc>
                <w:tcPr>
                  <w:tcW w:w="1567" w:type="dxa"/>
                  <w:tcBorders>
                    <w:top w:val="single" w:color="auto" w:sz="4" w:space="0"/>
                    <w:left w:val="single" w:color="auto" w:sz="4" w:space="0"/>
                    <w:bottom w:val="single" w:color="auto" w:sz="4" w:space="0"/>
                    <w:right w:val="nil"/>
                  </w:tcBorders>
                  <w:vAlign w:val="center"/>
                </w:tcPr>
                <w:p>
                  <w:pPr>
                    <w:pStyle w:val="19"/>
                  </w:pPr>
                  <w:r>
                    <w:rPr>
                      <w:rFonts w:hint="eastAsia"/>
                    </w:rPr>
                    <w:t>仓库</w:t>
                  </w:r>
                </w:p>
              </w:tc>
              <w:tc>
                <w:tcPr>
                  <w:tcW w:w="1549" w:type="dxa"/>
                  <w:tcBorders>
                    <w:top w:val="single" w:color="auto" w:sz="4" w:space="0"/>
                    <w:left w:val="single" w:color="auto" w:sz="4" w:space="0"/>
                    <w:bottom w:val="single" w:color="auto" w:sz="4" w:space="0"/>
                    <w:right w:val="nil"/>
                  </w:tcBorders>
                  <w:vAlign w:val="center"/>
                </w:tcPr>
                <w:p>
                  <w:pPr>
                    <w:pStyle w:val="19"/>
                  </w:pPr>
                  <w:r>
                    <w:rPr>
                      <w:rFonts w:hint="eastAsia"/>
                    </w:rPr>
                    <w:t>1000</w:t>
                  </w:r>
                </w:p>
              </w:tc>
              <w:tc>
                <w:tcPr>
                  <w:tcW w:w="694" w:type="dxa"/>
                  <w:tcBorders>
                    <w:top w:val="single" w:color="auto" w:sz="4" w:space="0"/>
                    <w:left w:val="single" w:color="auto" w:sz="4" w:space="0"/>
                    <w:bottom w:val="single" w:color="auto" w:sz="4" w:space="0"/>
                    <w:right w:val="nil"/>
                  </w:tcBorders>
                  <w:vAlign w:val="center"/>
                </w:tcPr>
                <w:p>
                  <w:pPr>
                    <w:pStyle w:val="19"/>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19"/>
                  </w:pPr>
                  <w:r>
                    <w:rPr>
                      <w:rFonts w:hint="eastAsia"/>
                    </w:rPr>
                    <w:t>砌体结构</w:t>
                  </w:r>
                </w:p>
              </w:tc>
              <w:tc>
                <w:tcPr>
                  <w:tcW w:w="2075" w:type="dxa"/>
                  <w:tcBorders>
                    <w:top w:val="single" w:color="auto" w:sz="4" w:space="0"/>
                    <w:left w:val="single" w:color="auto" w:sz="4" w:space="0"/>
                    <w:bottom w:val="single" w:color="auto" w:sz="4" w:space="0"/>
                    <w:right w:val="nil"/>
                  </w:tcBorders>
                  <w:vAlign w:val="center"/>
                </w:tcPr>
                <w:p>
                  <w:pPr>
                    <w:pStyle w:val="1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77" w:type="dxa"/>
                  <w:tcBorders>
                    <w:top w:val="single" w:color="auto" w:sz="4" w:space="0"/>
                    <w:left w:val="nil"/>
                    <w:bottom w:val="single" w:color="auto" w:sz="4" w:space="0"/>
                    <w:right w:val="single" w:color="auto" w:sz="4" w:space="0"/>
                  </w:tcBorders>
                  <w:vAlign w:val="center"/>
                </w:tcPr>
                <w:p>
                  <w:pPr>
                    <w:pStyle w:val="19"/>
                  </w:pPr>
                  <w:r>
                    <w:rPr>
                      <w:rFonts w:hint="eastAsia"/>
                    </w:rPr>
                    <w:t>3</w:t>
                  </w:r>
                </w:p>
              </w:tc>
              <w:tc>
                <w:tcPr>
                  <w:tcW w:w="1567" w:type="dxa"/>
                  <w:tcBorders>
                    <w:top w:val="single" w:color="auto" w:sz="4" w:space="0"/>
                    <w:left w:val="single" w:color="auto" w:sz="4" w:space="0"/>
                    <w:bottom w:val="single" w:color="auto" w:sz="4" w:space="0"/>
                    <w:right w:val="nil"/>
                  </w:tcBorders>
                  <w:vAlign w:val="center"/>
                </w:tcPr>
                <w:p>
                  <w:pPr>
                    <w:pStyle w:val="19"/>
                  </w:pPr>
                  <w:r>
                    <w:rPr>
                      <w:rFonts w:hint="eastAsia"/>
                    </w:rPr>
                    <w:t>生产车间</w:t>
                  </w:r>
                </w:p>
              </w:tc>
              <w:tc>
                <w:tcPr>
                  <w:tcW w:w="1549" w:type="dxa"/>
                  <w:tcBorders>
                    <w:top w:val="single" w:color="auto" w:sz="4" w:space="0"/>
                    <w:left w:val="single" w:color="auto" w:sz="4" w:space="0"/>
                    <w:bottom w:val="single" w:color="auto" w:sz="4" w:space="0"/>
                    <w:right w:val="nil"/>
                  </w:tcBorders>
                  <w:vAlign w:val="center"/>
                </w:tcPr>
                <w:p>
                  <w:pPr>
                    <w:pStyle w:val="19"/>
                    <w:rPr>
                      <w:rFonts w:hint="eastAsia" w:eastAsia="宋体"/>
                      <w:lang w:val="en-US" w:eastAsia="zh-CN"/>
                    </w:rPr>
                  </w:pPr>
                  <w:r>
                    <w:rPr>
                      <w:rFonts w:hint="eastAsia"/>
                      <w:lang w:val="en-US" w:eastAsia="zh-CN"/>
                    </w:rPr>
                    <w:t>1000</w:t>
                  </w:r>
                </w:p>
              </w:tc>
              <w:tc>
                <w:tcPr>
                  <w:tcW w:w="694" w:type="dxa"/>
                  <w:tcBorders>
                    <w:top w:val="single" w:color="auto" w:sz="4" w:space="0"/>
                    <w:left w:val="single" w:color="auto" w:sz="4" w:space="0"/>
                    <w:bottom w:val="single" w:color="auto" w:sz="4" w:space="0"/>
                    <w:right w:val="nil"/>
                  </w:tcBorders>
                  <w:vAlign w:val="center"/>
                </w:tcPr>
                <w:p>
                  <w:pPr>
                    <w:pStyle w:val="19"/>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19"/>
                  </w:pPr>
                  <w:r>
                    <w:rPr>
                      <w:rFonts w:hint="eastAsia"/>
                    </w:rPr>
                    <w:t>轻钢彩板</w:t>
                  </w:r>
                </w:p>
              </w:tc>
              <w:tc>
                <w:tcPr>
                  <w:tcW w:w="2075" w:type="dxa"/>
                  <w:tcBorders>
                    <w:top w:val="single" w:color="auto" w:sz="4" w:space="0"/>
                    <w:left w:val="single" w:color="auto" w:sz="4" w:space="0"/>
                    <w:bottom w:val="single" w:color="auto" w:sz="4" w:space="0"/>
                    <w:right w:val="nil"/>
                  </w:tcBorders>
                  <w:vAlign w:val="center"/>
                </w:tcPr>
                <w:p>
                  <w:pPr>
                    <w:pStyle w:val="1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4" w:type="dxa"/>
                  <w:gridSpan w:val="2"/>
                  <w:tcBorders>
                    <w:top w:val="single" w:color="auto" w:sz="4" w:space="0"/>
                    <w:left w:val="nil"/>
                    <w:bottom w:val="single" w:color="auto" w:sz="12" w:space="0"/>
                    <w:right w:val="single" w:color="auto" w:sz="4" w:space="0"/>
                  </w:tcBorders>
                  <w:vAlign w:val="center"/>
                </w:tcPr>
                <w:p>
                  <w:pPr>
                    <w:pStyle w:val="19"/>
                  </w:pPr>
                  <w:r>
                    <w:rPr>
                      <w:rFonts w:hint="eastAsia"/>
                    </w:rPr>
                    <w:t>合计</w:t>
                  </w:r>
                </w:p>
              </w:tc>
              <w:tc>
                <w:tcPr>
                  <w:tcW w:w="1549" w:type="dxa"/>
                  <w:tcBorders>
                    <w:top w:val="single" w:color="auto" w:sz="4" w:space="0"/>
                    <w:left w:val="single" w:color="auto" w:sz="4" w:space="0"/>
                    <w:bottom w:val="single" w:color="auto" w:sz="12" w:space="0"/>
                    <w:right w:val="nil"/>
                  </w:tcBorders>
                  <w:vAlign w:val="center"/>
                </w:tcPr>
                <w:p>
                  <w:pPr>
                    <w:pStyle w:val="19"/>
                    <w:rPr>
                      <w:rFonts w:hint="default" w:eastAsia="宋体"/>
                      <w:lang w:val="en-US" w:eastAsia="zh-CN"/>
                    </w:rPr>
                  </w:pPr>
                  <w:r>
                    <w:rPr>
                      <w:rFonts w:hint="eastAsia"/>
                      <w:lang w:val="en-US" w:eastAsia="zh-CN"/>
                    </w:rPr>
                    <w:t>2080</w:t>
                  </w:r>
                </w:p>
              </w:tc>
              <w:tc>
                <w:tcPr>
                  <w:tcW w:w="694" w:type="dxa"/>
                  <w:tcBorders>
                    <w:top w:val="single" w:color="auto" w:sz="4" w:space="0"/>
                    <w:left w:val="single" w:color="auto" w:sz="4" w:space="0"/>
                    <w:bottom w:val="single" w:color="auto" w:sz="12" w:space="0"/>
                    <w:right w:val="nil"/>
                  </w:tcBorders>
                  <w:vAlign w:val="center"/>
                </w:tcPr>
                <w:p>
                  <w:pPr>
                    <w:pStyle w:val="19"/>
                  </w:pPr>
                  <w:r>
                    <w:rPr>
                      <w:rFonts w:hint="eastAsia"/>
                    </w:rPr>
                    <w:t>-</w:t>
                  </w:r>
                </w:p>
              </w:tc>
              <w:tc>
                <w:tcPr>
                  <w:tcW w:w="2010" w:type="dxa"/>
                  <w:tcBorders>
                    <w:top w:val="single" w:color="auto" w:sz="4" w:space="0"/>
                    <w:left w:val="single" w:color="auto" w:sz="4" w:space="0"/>
                    <w:bottom w:val="single" w:color="auto" w:sz="12" w:space="0"/>
                    <w:right w:val="nil"/>
                  </w:tcBorders>
                  <w:vAlign w:val="center"/>
                </w:tcPr>
                <w:p>
                  <w:pPr>
                    <w:pStyle w:val="19"/>
                  </w:pPr>
                  <w:r>
                    <w:rPr>
                      <w:rFonts w:hint="eastAsia"/>
                    </w:rPr>
                    <w:t>-</w:t>
                  </w:r>
                </w:p>
              </w:tc>
              <w:tc>
                <w:tcPr>
                  <w:tcW w:w="2075" w:type="dxa"/>
                  <w:tcBorders>
                    <w:top w:val="single" w:color="auto" w:sz="4" w:space="0"/>
                    <w:left w:val="single" w:color="auto" w:sz="4" w:space="0"/>
                    <w:bottom w:val="single" w:color="auto" w:sz="12" w:space="0"/>
                    <w:right w:val="nil"/>
                  </w:tcBorders>
                  <w:vAlign w:val="center"/>
                </w:tcPr>
                <w:p>
                  <w:pPr>
                    <w:pStyle w:val="19"/>
                  </w:pPr>
                </w:p>
              </w:tc>
            </w:tr>
          </w:tbl>
          <w:p>
            <w:pPr>
              <w:pStyle w:val="55"/>
              <w:numPr>
                <w:ilvl w:val="0"/>
                <w:numId w:val="0"/>
              </w:numPr>
              <w:ind w:firstLine="480" w:firstLineChars="200"/>
              <w:rPr>
                <w:rFonts w:hint="default"/>
                <w:szCs w:val="2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7" w:hRule="atLeast"/>
          <w:jc w:val="center"/>
        </w:trPr>
        <w:tc>
          <w:tcPr>
            <w:tcW w:w="9388" w:type="dxa"/>
          </w:tcPr>
          <w:p>
            <w:pPr>
              <w:pStyle w:val="51"/>
              <w:tabs>
                <w:tab w:val="left" w:pos="2880"/>
              </w:tabs>
              <w:ind w:left="0" w:leftChars="0" w:firstLine="480" w:firstLineChars="200"/>
            </w:pPr>
            <w:r>
              <w:rPr>
                <w:rFonts w:hint="eastAsia"/>
                <w:lang w:val="en-US" w:eastAsia="zh-CN"/>
              </w:rPr>
              <w:t>4</w:t>
            </w:r>
            <w:r>
              <w:rPr>
                <w:rFonts w:hint="eastAsia"/>
              </w:rPr>
              <w:t>、水平衡</w:t>
            </w:r>
          </w:p>
          <w:p>
            <w:pPr>
              <w:pStyle w:val="4"/>
              <w:spacing w:before="0" w:after="0" w:line="360" w:lineRule="auto"/>
              <w:ind w:firstLine="480" w:firstLineChars="200"/>
              <w:rPr>
                <w:rFonts w:ascii="宋体" w:hAnsi="宋体" w:eastAsia="宋体"/>
                <w:b w:val="0"/>
                <w:sz w:val="24"/>
                <w:szCs w:val="24"/>
              </w:rPr>
            </w:pPr>
            <w:r>
              <w:rPr>
                <w:rFonts w:hint="eastAsia" w:ascii="宋体" w:hAnsi="宋体" w:eastAsia="宋体"/>
                <w:b w:val="0"/>
                <w:sz w:val="24"/>
                <w:szCs w:val="24"/>
              </w:rPr>
              <w:t>（1）给水</w:t>
            </w:r>
          </w:p>
          <w:p>
            <w:pPr>
              <w:pStyle w:val="55"/>
              <w:rPr>
                <w:rFonts w:hint="default"/>
                <w:szCs w:val="24"/>
                <w:lang w:val="en-US" w:eastAsia="zh-CN"/>
              </w:rPr>
            </w:pPr>
            <w:r>
              <w:rPr>
                <w:rFonts w:hint="eastAsia" w:ascii="宋体" w:hAnsi="宋体" w:cs="宋体"/>
                <w:bCs/>
                <w:sz w:val="24"/>
              </w:rPr>
              <w:t>本项目</w:t>
            </w:r>
            <w:r>
              <w:rPr>
                <w:rFonts w:hint="eastAsia" w:ascii="宋体" w:hAnsi="宋体" w:cs="宋体"/>
                <w:bCs/>
                <w:sz w:val="24"/>
                <w:lang w:eastAsia="zh-CN"/>
              </w:rPr>
              <w:t>生产不用水，</w:t>
            </w:r>
            <w:r>
              <w:rPr>
                <w:rFonts w:hint="eastAsia" w:ascii="宋体" w:hAnsi="宋体" w:cs="宋体"/>
                <w:bCs/>
                <w:sz w:val="24"/>
              </w:rPr>
              <w:t>用水主要为</w:t>
            </w:r>
            <w:r>
              <w:rPr>
                <w:rFonts w:hint="eastAsia" w:ascii="宋体" w:hAnsi="宋体" w:cs="宋体"/>
                <w:bCs/>
                <w:sz w:val="24"/>
                <w:lang w:eastAsia="zh-CN"/>
              </w:rPr>
              <w:t>员工生活用水</w:t>
            </w:r>
            <w:r>
              <w:rPr>
                <w:rFonts w:hint="eastAsia" w:ascii="宋体" w:hAnsi="宋体" w:cs="宋体"/>
                <w:bCs/>
                <w:sz w:val="24"/>
              </w:rPr>
              <w:t>。</w:t>
            </w:r>
          </w:p>
          <w:p>
            <w:pPr>
              <w:spacing w:line="360" w:lineRule="auto"/>
              <w:ind w:firstLine="480" w:firstLineChars="200"/>
              <w:jc w:val="left"/>
              <w:rPr>
                <w:rFonts w:hint="eastAsia"/>
                <w:szCs w:val="24"/>
                <w:lang w:val="en-US" w:eastAsia="zh-CN"/>
              </w:rPr>
            </w:pPr>
            <w:r>
              <w:rPr>
                <w:rFonts w:hint="eastAsia" w:ascii="宋体" w:hAnsi="宋体" w:cs="宋体"/>
                <w:sz w:val="24"/>
                <w:szCs w:val="32"/>
                <w:lang w:eastAsia="zh-CN"/>
              </w:rPr>
              <w:t>生活污水</w:t>
            </w:r>
            <w:r>
              <w:rPr>
                <w:rFonts w:hint="eastAsia" w:eastAsia="宋体"/>
                <w:sz w:val="24"/>
                <w:szCs w:val="32"/>
                <w:lang w:eastAsia="zh-CN"/>
              </w:rPr>
              <w:t>：</w:t>
            </w:r>
            <w:r>
              <w:rPr>
                <w:rFonts w:hAnsi="宋体"/>
                <w:bCs/>
                <w:sz w:val="24"/>
              </w:rPr>
              <w:t>本项目职工生活用水量按</w:t>
            </w:r>
            <w:r>
              <w:rPr>
                <w:bCs/>
                <w:sz w:val="24"/>
              </w:rPr>
              <w:t>0.05m</w:t>
            </w:r>
            <w:r>
              <w:rPr>
                <w:bCs/>
                <w:sz w:val="24"/>
                <w:vertAlign w:val="superscript"/>
              </w:rPr>
              <w:t>3</w:t>
            </w:r>
            <w:r>
              <w:rPr>
                <w:bCs/>
                <w:sz w:val="24"/>
              </w:rPr>
              <w:t>/d</w:t>
            </w:r>
            <w:r>
              <w:rPr>
                <w:rFonts w:hAnsi="宋体"/>
                <w:bCs/>
                <w:sz w:val="24"/>
              </w:rPr>
              <w:t>计算，职工定员</w:t>
            </w:r>
            <w:r>
              <w:rPr>
                <w:rFonts w:hint="eastAsia"/>
                <w:bCs/>
                <w:sz w:val="24"/>
                <w:lang w:val="en-US" w:eastAsia="zh-CN"/>
              </w:rPr>
              <w:t>10</w:t>
            </w:r>
            <w:r>
              <w:rPr>
                <w:rFonts w:hAnsi="宋体"/>
                <w:bCs/>
                <w:sz w:val="24"/>
              </w:rPr>
              <w:t>人，年工作</w:t>
            </w:r>
            <w:r>
              <w:rPr>
                <w:rFonts w:hint="eastAsia"/>
                <w:bCs/>
                <w:sz w:val="24"/>
                <w:lang w:val="en-US" w:eastAsia="zh-CN"/>
              </w:rPr>
              <w:t>30</w:t>
            </w:r>
            <w:r>
              <w:rPr>
                <w:bCs/>
                <w:sz w:val="24"/>
              </w:rPr>
              <w:t>0d</w:t>
            </w:r>
            <w:r>
              <w:rPr>
                <w:rFonts w:hAnsi="宋体"/>
                <w:bCs/>
                <w:sz w:val="24"/>
              </w:rPr>
              <w:t>，则职工生活用水量为</w:t>
            </w:r>
            <w:r>
              <w:rPr>
                <w:rFonts w:hint="eastAsia"/>
                <w:bCs/>
                <w:sz w:val="24"/>
                <w:lang w:val="en-US" w:eastAsia="zh-CN"/>
              </w:rPr>
              <w:t>0.5</w:t>
            </w:r>
            <w:r>
              <w:rPr>
                <w:bCs/>
                <w:sz w:val="24"/>
              </w:rPr>
              <w:t>m</w:t>
            </w:r>
            <w:r>
              <w:rPr>
                <w:bCs/>
                <w:sz w:val="24"/>
                <w:vertAlign w:val="superscript"/>
              </w:rPr>
              <w:t>3</w:t>
            </w:r>
            <w:r>
              <w:rPr>
                <w:bCs/>
                <w:sz w:val="24"/>
              </w:rPr>
              <w:t>/d</w:t>
            </w:r>
            <w:r>
              <w:rPr>
                <w:rFonts w:hAnsi="宋体"/>
                <w:bCs/>
                <w:sz w:val="24"/>
              </w:rPr>
              <w:t>（</w:t>
            </w:r>
            <w:r>
              <w:rPr>
                <w:rFonts w:hint="eastAsia"/>
                <w:bCs/>
                <w:sz w:val="24"/>
                <w:lang w:val="en-US" w:eastAsia="zh-CN"/>
              </w:rPr>
              <w:t>150.0</w:t>
            </w:r>
            <w:r>
              <w:rPr>
                <w:bCs/>
                <w:sz w:val="24"/>
              </w:rPr>
              <w:t>m</w:t>
            </w:r>
            <w:r>
              <w:rPr>
                <w:bCs/>
                <w:sz w:val="24"/>
                <w:vertAlign w:val="superscript"/>
              </w:rPr>
              <w:t>3</w:t>
            </w:r>
            <w:r>
              <w:rPr>
                <w:bCs/>
                <w:sz w:val="24"/>
              </w:rPr>
              <w:t>/a</w:t>
            </w:r>
            <w:r>
              <w:rPr>
                <w:rFonts w:hAnsi="宋体"/>
                <w:bCs/>
                <w:sz w:val="24"/>
              </w:rPr>
              <w:t>）</w:t>
            </w:r>
            <w:r>
              <w:rPr>
                <w:rFonts w:hAnsi="宋体"/>
                <w:bCs/>
                <w:sz w:val="24"/>
                <w:szCs w:val="24"/>
              </w:rPr>
              <w:t>；</w:t>
            </w:r>
          </w:p>
          <w:p>
            <w:pPr>
              <w:pStyle w:val="55"/>
              <w:rPr>
                <w:rFonts w:hint="default"/>
                <w:szCs w:val="24"/>
                <w:lang w:val="en-US" w:eastAsia="zh-CN"/>
              </w:rPr>
            </w:pPr>
            <w:r>
              <w:rPr>
                <w:rFonts w:hAnsi="宋体"/>
                <w:bCs/>
                <w:sz w:val="24"/>
                <w:szCs w:val="24"/>
              </w:rPr>
              <w:t>因此本项目新鲜水总用水量为</w:t>
            </w:r>
            <w:r>
              <w:rPr>
                <w:rFonts w:hint="eastAsia"/>
                <w:bCs/>
                <w:sz w:val="24"/>
                <w:szCs w:val="24"/>
                <w:lang w:val="en-US" w:eastAsia="zh-CN"/>
              </w:rPr>
              <w:t>0.5</w:t>
            </w:r>
            <w:r>
              <w:rPr>
                <w:bCs/>
                <w:sz w:val="24"/>
                <w:szCs w:val="24"/>
              </w:rPr>
              <w:t>m</w:t>
            </w:r>
            <w:r>
              <w:rPr>
                <w:bCs/>
                <w:sz w:val="24"/>
                <w:szCs w:val="24"/>
                <w:vertAlign w:val="superscript"/>
              </w:rPr>
              <w:t>3</w:t>
            </w:r>
            <w:r>
              <w:rPr>
                <w:bCs/>
                <w:sz w:val="24"/>
                <w:szCs w:val="24"/>
              </w:rPr>
              <w:t>/d</w:t>
            </w:r>
            <w:r>
              <w:rPr>
                <w:rFonts w:hAnsi="宋体"/>
                <w:bCs/>
                <w:sz w:val="24"/>
                <w:szCs w:val="24"/>
              </w:rPr>
              <w:t>（</w:t>
            </w:r>
            <w:r>
              <w:rPr>
                <w:rFonts w:hint="eastAsia" w:hAnsi="宋体"/>
                <w:bCs/>
                <w:sz w:val="24"/>
                <w:szCs w:val="24"/>
                <w:lang w:val="en-US" w:eastAsia="zh-CN"/>
              </w:rPr>
              <w:t>150.0</w:t>
            </w:r>
            <w:r>
              <w:rPr>
                <w:bCs/>
                <w:sz w:val="24"/>
                <w:szCs w:val="24"/>
              </w:rPr>
              <w:t>m</w:t>
            </w:r>
            <w:r>
              <w:rPr>
                <w:bCs/>
                <w:sz w:val="24"/>
                <w:szCs w:val="24"/>
                <w:vertAlign w:val="superscript"/>
              </w:rPr>
              <w:t>3</w:t>
            </w:r>
            <w:r>
              <w:rPr>
                <w:bCs/>
                <w:sz w:val="24"/>
                <w:szCs w:val="24"/>
              </w:rPr>
              <w:t>/a</w:t>
            </w:r>
            <w:r>
              <w:rPr>
                <w:rFonts w:hAnsi="宋体"/>
                <w:bCs/>
                <w:sz w:val="24"/>
                <w:szCs w:val="24"/>
              </w:rPr>
              <w:t>），新鲜水由</w:t>
            </w:r>
            <w:r>
              <w:rPr>
                <w:rFonts w:hint="eastAsia" w:hAnsi="宋体"/>
                <w:bCs/>
                <w:sz w:val="24"/>
                <w:szCs w:val="24"/>
                <w:lang w:eastAsia="zh-CN"/>
              </w:rPr>
              <w:t>厂区地下水</w:t>
            </w:r>
            <w:r>
              <w:rPr>
                <w:rFonts w:hAnsi="宋体"/>
                <w:bCs/>
                <w:sz w:val="24"/>
                <w:szCs w:val="24"/>
              </w:rPr>
              <w:t>供给</w:t>
            </w:r>
            <w:r>
              <w:rPr>
                <w:rFonts w:hint="eastAsia" w:hAnsi="宋体"/>
                <w:bCs/>
                <w:sz w:val="24"/>
                <w:szCs w:val="24"/>
                <w:lang w:eastAsia="zh-CN"/>
              </w:rPr>
              <w:t>，涌水量为</w:t>
            </w:r>
            <w:r>
              <w:rPr>
                <w:rFonts w:hint="eastAsia" w:hAnsi="宋体"/>
                <w:bCs/>
                <w:sz w:val="24"/>
                <w:szCs w:val="24"/>
                <w:lang w:val="en-US" w:eastAsia="zh-CN"/>
              </w:rPr>
              <w:t>10m</w:t>
            </w:r>
            <w:r>
              <w:rPr>
                <w:rFonts w:hint="eastAsia" w:hAnsi="宋体"/>
                <w:bCs/>
                <w:sz w:val="24"/>
                <w:szCs w:val="24"/>
                <w:vertAlign w:val="superscript"/>
                <w:lang w:val="en-US" w:eastAsia="zh-CN"/>
              </w:rPr>
              <w:t>3</w:t>
            </w:r>
            <w:r>
              <w:rPr>
                <w:rFonts w:hint="eastAsia" w:hAnsi="宋体"/>
                <w:bCs/>
                <w:sz w:val="24"/>
                <w:szCs w:val="24"/>
                <w:lang w:val="en-US" w:eastAsia="zh-CN"/>
              </w:rPr>
              <w:t>/h</w:t>
            </w:r>
            <w:r>
              <w:rPr>
                <w:rFonts w:hAnsi="宋体"/>
                <w:bCs/>
                <w:sz w:val="24"/>
                <w:szCs w:val="24"/>
              </w:rPr>
              <w:t>，能够满足其用水要求</w:t>
            </w:r>
            <w:r>
              <w:rPr>
                <w:rFonts w:hint="eastAsia"/>
                <w:szCs w:val="24"/>
                <w:lang w:val="en-US" w:eastAsia="zh-CN"/>
              </w:rPr>
              <w:t>。</w:t>
            </w:r>
          </w:p>
          <w:p>
            <w:pPr>
              <w:pStyle w:val="4"/>
              <w:spacing w:before="0" w:after="0" w:line="360" w:lineRule="auto"/>
              <w:ind w:firstLine="480" w:firstLineChars="200"/>
              <w:rPr>
                <w:rFonts w:ascii="宋体" w:hAnsi="宋体" w:eastAsia="宋体"/>
                <w:b w:val="0"/>
                <w:sz w:val="24"/>
                <w:szCs w:val="24"/>
              </w:rPr>
            </w:pPr>
            <w:r>
              <w:rPr>
                <w:rFonts w:hint="eastAsia" w:ascii="宋体" w:hAnsi="宋体" w:eastAsia="宋体"/>
                <w:b w:val="0"/>
                <w:sz w:val="24"/>
                <w:szCs w:val="24"/>
              </w:rPr>
              <w:t>（2）排水</w:t>
            </w:r>
          </w:p>
          <w:p>
            <w:pPr>
              <w:spacing w:before="62" w:beforeLines="20" w:line="360" w:lineRule="auto"/>
              <w:ind w:firstLine="480" w:firstLineChars="200"/>
              <w:rPr>
                <w:rFonts w:hint="eastAsia"/>
                <w:lang w:eastAsia="zh-CN"/>
              </w:rPr>
            </w:pPr>
            <w:r>
              <w:rPr>
                <w:rFonts w:hAnsi="宋体"/>
                <w:bCs/>
                <w:sz w:val="24"/>
                <w:szCs w:val="22"/>
              </w:rPr>
              <w:t>本项目</w:t>
            </w:r>
            <w:r>
              <w:rPr>
                <w:rFonts w:hint="eastAsia" w:hAnsi="宋体"/>
                <w:bCs/>
                <w:sz w:val="24"/>
                <w:szCs w:val="22"/>
                <w:lang w:eastAsia="zh-CN"/>
              </w:rPr>
              <w:t>生产不用水</w:t>
            </w:r>
            <w:r>
              <w:rPr>
                <w:rFonts w:hAnsi="宋体"/>
                <w:bCs/>
                <w:sz w:val="24"/>
                <w:szCs w:val="22"/>
              </w:rPr>
              <w:t>，</w:t>
            </w:r>
            <w:r>
              <w:rPr>
                <w:rFonts w:hint="eastAsia" w:hAnsi="宋体"/>
                <w:bCs/>
                <w:sz w:val="24"/>
                <w:szCs w:val="22"/>
                <w:lang w:eastAsia="zh-CN"/>
              </w:rPr>
              <w:t>无生产废水产生；</w:t>
            </w:r>
            <w:r>
              <w:rPr>
                <w:rFonts w:hAnsi="宋体"/>
                <w:bCs/>
                <w:sz w:val="24"/>
                <w:szCs w:val="22"/>
              </w:rPr>
              <w:t>所以本项目产生的废水主要为生活污水。生活污水</w:t>
            </w:r>
            <w:r>
              <w:rPr>
                <w:rFonts w:hint="eastAsia" w:hAnsi="宋体"/>
                <w:bCs/>
                <w:sz w:val="24"/>
                <w:szCs w:val="24"/>
                <w:lang w:eastAsia="zh-CN"/>
              </w:rPr>
              <w:t>产生量</w:t>
            </w:r>
            <w:r>
              <w:rPr>
                <w:rFonts w:hAnsi="宋体"/>
                <w:bCs/>
                <w:sz w:val="24"/>
                <w:szCs w:val="24"/>
              </w:rPr>
              <w:t>按用水量的</w:t>
            </w:r>
            <w:r>
              <w:rPr>
                <w:bCs/>
                <w:sz w:val="24"/>
                <w:szCs w:val="24"/>
              </w:rPr>
              <w:t>80%</w:t>
            </w:r>
            <w:r>
              <w:rPr>
                <w:rFonts w:hAnsi="宋体"/>
                <w:bCs/>
                <w:sz w:val="24"/>
                <w:szCs w:val="24"/>
              </w:rPr>
              <w:t>计，则职工生活污水产生量为</w:t>
            </w:r>
            <w:r>
              <w:rPr>
                <w:rFonts w:hint="eastAsia"/>
                <w:bCs/>
                <w:sz w:val="24"/>
                <w:szCs w:val="24"/>
                <w:lang w:val="en-US" w:eastAsia="zh-CN"/>
              </w:rPr>
              <w:t>0.4</w:t>
            </w:r>
            <w:r>
              <w:rPr>
                <w:bCs/>
                <w:sz w:val="24"/>
                <w:szCs w:val="24"/>
              </w:rPr>
              <w:t>m</w:t>
            </w:r>
            <w:r>
              <w:rPr>
                <w:bCs/>
                <w:sz w:val="24"/>
                <w:szCs w:val="24"/>
                <w:vertAlign w:val="superscript"/>
              </w:rPr>
              <w:t>3</w:t>
            </w:r>
            <w:r>
              <w:rPr>
                <w:bCs/>
                <w:sz w:val="24"/>
                <w:szCs w:val="24"/>
              </w:rPr>
              <w:t>/d</w:t>
            </w:r>
            <w:r>
              <w:rPr>
                <w:rFonts w:hint="eastAsia"/>
                <w:bCs/>
                <w:sz w:val="24"/>
                <w:szCs w:val="24"/>
                <w:lang w:eastAsia="zh-CN"/>
              </w:rPr>
              <w:t>（</w:t>
            </w:r>
            <w:r>
              <w:rPr>
                <w:rFonts w:hint="eastAsia" w:hAnsi="宋体"/>
                <w:bCs/>
                <w:sz w:val="24"/>
                <w:szCs w:val="24"/>
                <w:lang w:val="en-US" w:eastAsia="zh-CN"/>
              </w:rPr>
              <w:t>120.0m</w:t>
            </w:r>
            <w:r>
              <w:rPr>
                <w:rFonts w:hint="eastAsia" w:hAnsi="宋体"/>
                <w:bCs/>
                <w:sz w:val="24"/>
                <w:szCs w:val="24"/>
                <w:vertAlign w:val="superscript"/>
                <w:lang w:val="en-US" w:eastAsia="zh-CN"/>
              </w:rPr>
              <w:t>3</w:t>
            </w:r>
            <w:r>
              <w:rPr>
                <w:bCs/>
                <w:sz w:val="24"/>
                <w:szCs w:val="24"/>
              </w:rPr>
              <w:t>/a</w:t>
            </w:r>
            <w:r>
              <w:rPr>
                <w:rFonts w:hAnsi="宋体"/>
                <w:bCs/>
                <w:sz w:val="24"/>
                <w:szCs w:val="24"/>
              </w:rPr>
              <w:t>）</w:t>
            </w:r>
            <w:r>
              <w:rPr>
                <w:rFonts w:hint="eastAsia" w:hAnsi="宋体"/>
                <w:bCs/>
                <w:sz w:val="24"/>
                <w:szCs w:val="24"/>
                <w:lang w:eastAsia="zh-CN"/>
              </w:rPr>
              <w:t>；综上，</w:t>
            </w:r>
            <w:r>
              <w:rPr>
                <w:rFonts w:hint="eastAsia"/>
                <w:sz w:val="24"/>
                <w:lang w:eastAsia="zh-CN"/>
              </w:rPr>
              <w:t>本项目污水产生量为</w:t>
            </w:r>
            <w:r>
              <w:rPr>
                <w:rFonts w:hint="eastAsia"/>
                <w:sz w:val="24"/>
                <w:lang w:val="en-US" w:eastAsia="zh-CN"/>
              </w:rPr>
              <w:t>0.4m/d（120.0m</w:t>
            </w:r>
            <w:r>
              <w:rPr>
                <w:rFonts w:hint="eastAsia"/>
                <w:sz w:val="24"/>
                <w:vertAlign w:val="superscript"/>
                <w:lang w:val="en-US" w:eastAsia="zh-CN"/>
              </w:rPr>
              <w:t>3</w:t>
            </w:r>
            <w:r>
              <w:rPr>
                <w:rFonts w:hint="eastAsia"/>
                <w:sz w:val="24"/>
                <w:lang w:val="en-US" w:eastAsia="zh-CN"/>
              </w:rPr>
              <w:t>/a）</w:t>
            </w:r>
            <w:r>
              <w:rPr>
                <w:rFonts w:hint="eastAsia"/>
                <w:sz w:val="24"/>
                <w:lang w:eastAsia="zh-CN"/>
              </w:rPr>
              <w:t>。废水全部排入企业自建防渗旱厕，定期清掏，用作农家肥。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7" w:hRule="atLeast"/>
          <w:jc w:val="center"/>
        </w:trPr>
        <w:tc>
          <w:tcPr>
            <w:tcW w:w="9388" w:type="dxa"/>
          </w:tcPr>
          <w:p>
            <w:pPr>
              <w:spacing w:before="62" w:beforeLines="20" w:line="360" w:lineRule="auto"/>
              <w:rPr>
                <w:rFonts w:hint="eastAsia"/>
                <w:sz w:val="24"/>
                <w:szCs w:val="32"/>
                <w:lang w:eastAsia="zh-CN"/>
              </w:rPr>
            </w:pPr>
            <w:r>
              <w:rPr>
                <w:rFonts w:hint="eastAsia"/>
                <w:lang w:eastAsia="zh-CN"/>
              </w:rPr>
              <w:drawing>
                <wp:anchor distT="0" distB="0" distL="114300" distR="114300" simplePos="0" relativeHeight="251704320" behindDoc="0" locked="0" layoutInCell="1" allowOverlap="1">
                  <wp:simplePos x="0" y="0"/>
                  <wp:positionH relativeFrom="column">
                    <wp:posOffset>304800</wp:posOffset>
                  </wp:positionH>
                  <wp:positionV relativeFrom="paragraph">
                    <wp:posOffset>250825</wp:posOffset>
                  </wp:positionV>
                  <wp:extent cx="5219065" cy="1419225"/>
                  <wp:effectExtent l="0" t="0" r="635" b="9525"/>
                  <wp:wrapSquare wrapText="bothSides"/>
                  <wp:docPr id="1" name="图片 1" descr="157604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6043489(1)"/>
                          <pic:cNvPicPr>
                            <a:picLocks noChangeAspect="1"/>
                          </pic:cNvPicPr>
                        </pic:nvPicPr>
                        <pic:blipFill>
                          <a:blip r:embed="rId11"/>
                          <a:stretch>
                            <a:fillRect/>
                          </a:stretch>
                        </pic:blipFill>
                        <pic:spPr>
                          <a:xfrm>
                            <a:off x="0" y="0"/>
                            <a:ext cx="5219065" cy="1419225"/>
                          </a:xfrm>
                          <a:prstGeom prst="rect">
                            <a:avLst/>
                          </a:prstGeom>
                        </pic:spPr>
                      </pic:pic>
                    </a:graphicData>
                  </a:graphic>
                </wp:anchor>
              </w:drawing>
            </w:r>
            <w:r>
              <w:rPr>
                <w:rFonts w:hint="eastAsia"/>
                <w:lang w:val="en-US" w:eastAsia="zh-CN"/>
              </w:rPr>
              <w:t xml:space="preserve">                              </w:t>
            </w:r>
            <w:r>
              <w:rPr>
                <w:rFonts w:hint="eastAsia"/>
                <w:sz w:val="24"/>
                <w:szCs w:val="32"/>
                <w:lang w:eastAsia="zh-CN"/>
              </w:rPr>
              <w:t>本项目给水平衡图</w:t>
            </w:r>
          </w:p>
          <w:p>
            <w:pPr>
              <w:pStyle w:val="22"/>
              <w:rPr>
                <w:rFonts w:hint="eastAsia"/>
                <w:lang w:eastAsia="zh-CN"/>
              </w:rPr>
            </w:pPr>
          </w:p>
          <w:p>
            <w:pPr>
              <w:rPr>
                <w:rFonts w:hint="eastAsia"/>
                <w:lang w:eastAsia="zh-CN"/>
              </w:rPr>
            </w:pPr>
          </w:p>
          <w:p>
            <w:pPr>
              <w:pStyle w:val="22"/>
              <w:rPr>
                <w:rFonts w:hint="eastAsia"/>
                <w:lang w:eastAsia="zh-CN"/>
              </w:rPr>
            </w:pPr>
          </w:p>
          <w:p>
            <w:pPr>
              <w:rPr>
                <w:rFonts w:hint="eastAsia"/>
                <w:lang w:eastAsia="zh-CN"/>
              </w:rPr>
            </w:pPr>
          </w:p>
          <w:p>
            <w:pPr>
              <w:pStyle w:val="22"/>
              <w:rPr>
                <w:rFonts w:hint="eastAsia"/>
                <w:lang w:eastAsia="zh-CN"/>
              </w:rPr>
            </w:pPr>
          </w:p>
          <w:p>
            <w:pPr>
              <w:rPr>
                <w:rFonts w:hint="eastAsia"/>
                <w:lang w:eastAsia="zh-CN"/>
              </w:rPr>
            </w:pPr>
          </w:p>
          <w:p>
            <w:pPr>
              <w:pStyle w:val="22"/>
              <w:rPr>
                <w:rFonts w:hint="eastAsia"/>
                <w:lang w:eastAsia="zh-CN"/>
              </w:rPr>
            </w:pPr>
          </w:p>
          <w:p>
            <w:pPr>
              <w:rPr>
                <w:rFonts w:hint="eastAsia"/>
                <w:lang w:eastAsia="zh-CN"/>
              </w:rPr>
            </w:pPr>
          </w:p>
          <w:p>
            <w:pPr>
              <w:pStyle w:val="22"/>
              <w:rPr>
                <w:rFonts w:hint="eastAsia"/>
                <w:lang w:eastAsia="zh-CN"/>
              </w:rPr>
            </w:pPr>
          </w:p>
          <w:p>
            <w:pPr>
              <w:rPr>
                <w:rFonts w:hint="eastAsia"/>
                <w:lang w:eastAsia="zh-CN"/>
              </w:rPr>
            </w:pPr>
          </w:p>
          <w:p>
            <w:pPr>
              <w:pStyle w:val="22"/>
              <w:rPr>
                <w:rFonts w:hint="eastAsia"/>
                <w:lang w:eastAsia="zh-CN"/>
              </w:rPr>
            </w:pPr>
          </w:p>
          <w:p>
            <w:pPr>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85" w:hRule="atLeast"/>
          <w:jc w:val="center"/>
        </w:trPr>
        <w:tc>
          <w:tcPr>
            <w:tcW w:w="9388" w:type="dxa"/>
          </w:tcPr>
          <w:p>
            <w:pPr>
              <w:spacing w:before="62" w:beforeLines="20" w:line="360" w:lineRule="auto"/>
              <w:rPr>
                <w:rFonts w:hint="eastAsia"/>
                <w:b/>
                <w:bCs/>
                <w:sz w:val="24"/>
                <w:szCs w:val="32"/>
              </w:rPr>
            </w:pPr>
            <w:r>
              <w:rPr>
                <w:rFonts w:hint="eastAsia"/>
                <w:b/>
                <w:bCs/>
                <w:sz w:val="24"/>
                <w:szCs w:val="32"/>
              </w:rPr>
              <w:t>主要工艺流程及产污环节（附处理工艺流程图，标出产污节点）</w:t>
            </w:r>
          </w:p>
          <w:p>
            <w:pPr>
              <w:pStyle w:val="2"/>
              <w:spacing w:before="124" w:line="360" w:lineRule="auto"/>
              <w:ind w:right="258" w:firstLine="480" w:firstLineChars="200"/>
              <w:jc w:val="both"/>
              <w:rPr>
                <w:rFonts w:hint="eastAsia" w:ascii="宋体" w:hAnsi="宋体" w:eastAsia="宋体" w:cs="宋体"/>
                <w:bCs/>
                <w:spacing w:val="0"/>
                <w:sz w:val="24"/>
                <w:szCs w:val="22"/>
                <w:lang w:eastAsia="zh-CN"/>
              </w:rPr>
            </w:pPr>
            <w:r>
              <w:rPr>
                <w:rFonts w:hint="eastAsia" w:ascii="宋体" w:hAnsi="宋体" w:cs="宋体"/>
                <w:bCs/>
                <w:spacing w:val="0"/>
                <w:sz w:val="24"/>
                <w:szCs w:val="22"/>
              </w:rPr>
              <w:t>①开料：开料即采用裁板系统装置将整块的板材，按照产品所需要的尺寸“裁剪”下来</w:t>
            </w:r>
            <w:r>
              <w:rPr>
                <w:rFonts w:hint="eastAsia" w:ascii="宋体" w:hAnsi="宋体" w:cs="宋体"/>
                <w:bCs/>
                <w:spacing w:val="0"/>
                <w:sz w:val="24"/>
                <w:szCs w:val="22"/>
                <w:lang w:eastAsia="zh-CN"/>
              </w:rPr>
              <w:t>，此过程产生的粉尘经集尘罩收集后通过</w:t>
            </w:r>
            <w:r>
              <w:rPr>
                <w:rFonts w:hint="eastAsia" w:ascii="宋体" w:hAnsi="宋体" w:cs="宋体"/>
                <w:bCs/>
                <w:spacing w:val="0"/>
                <w:sz w:val="24"/>
                <w:szCs w:val="22"/>
              </w:rPr>
              <w:t>布袋除尘器处理</w:t>
            </w:r>
            <w:r>
              <w:rPr>
                <w:rFonts w:hint="eastAsia" w:ascii="宋体" w:hAnsi="宋体" w:cs="宋体"/>
                <w:bCs/>
                <w:spacing w:val="0"/>
                <w:sz w:val="24"/>
                <w:szCs w:val="22"/>
                <w:lang w:eastAsia="zh-CN"/>
              </w:rPr>
              <w:t>，开料后利用乳白胶胶合，进入封边处理。</w:t>
            </w:r>
          </w:p>
          <w:p>
            <w:pPr>
              <w:pStyle w:val="2"/>
              <w:spacing w:before="124" w:line="360" w:lineRule="auto"/>
              <w:ind w:right="258" w:firstLine="480" w:firstLineChars="200"/>
              <w:jc w:val="both"/>
              <w:rPr>
                <w:rFonts w:hint="eastAsia" w:ascii="宋体" w:hAnsi="宋体" w:cs="宋体"/>
                <w:bCs/>
                <w:spacing w:val="0"/>
                <w:sz w:val="24"/>
                <w:szCs w:val="22"/>
                <w:lang w:val="en-US" w:eastAsia="zh-CN"/>
              </w:rPr>
            </w:pPr>
            <w:r>
              <w:rPr>
                <w:rFonts w:hint="eastAsia" w:ascii="宋体" w:hAnsi="宋体" w:cs="宋体"/>
                <w:bCs/>
                <w:spacing w:val="0"/>
                <w:sz w:val="24"/>
                <w:szCs w:val="22"/>
              </w:rPr>
              <w:t>②封边：封边机通过输送——涂胶——修边——刮边——精修边工序，将部件外露边用热熔胶通过封边机粘合起来并修整（封边机根据热溶胶所需的溶胶温度，自动控制温度）</w:t>
            </w:r>
            <w:r>
              <w:rPr>
                <w:rFonts w:hint="eastAsia" w:ascii="宋体" w:hAnsi="宋体" w:cs="宋体"/>
                <w:bCs/>
                <w:spacing w:val="0"/>
                <w:sz w:val="24"/>
                <w:szCs w:val="22"/>
                <w:lang w:eastAsia="zh-CN"/>
              </w:rPr>
              <w:t>，此过程产生的非甲烷总烃气体</w:t>
            </w:r>
            <w:r>
              <w:rPr>
                <w:rFonts w:hint="eastAsia" w:ascii="宋体" w:hAnsi="宋体" w:cs="宋体"/>
                <w:bCs/>
                <w:spacing w:val="0"/>
                <w:sz w:val="24"/>
                <w:szCs w:val="22"/>
              </w:rPr>
              <w:t>在生产车间设置排气口并安装风机，利用风机加强通风</w:t>
            </w:r>
            <w:r>
              <w:rPr>
                <w:rFonts w:hint="eastAsia" w:ascii="宋体" w:hAnsi="宋体" w:cs="宋体"/>
                <w:bCs/>
                <w:spacing w:val="0"/>
                <w:sz w:val="24"/>
                <w:szCs w:val="22"/>
                <w:lang w:eastAsia="zh-CN"/>
              </w:rPr>
              <w:t>，来减少对周围环境的影响。</w:t>
            </w:r>
          </w:p>
          <w:p>
            <w:pPr>
              <w:pStyle w:val="2"/>
              <w:spacing w:before="124" w:line="360" w:lineRule="auto"/>
              <w:ind w:right="258" w:firstLine="480" w:firstLineChars="200"/>
              <w:jc w:val="both"/>
              <w:rPr>
                <w:rFonts w:hint="eastAsia" w:ascii="宋体" w:hAnsi="宋体" w:cs="宋体"/>
                <w:bCs/>
                <w:spacing w:val="0"/>
                <w:sz w:val="24"/>
                <w:szCs w:val="22"/>
                <w:lang w:val="en-US" w:eastAsia="zh-CN"/>
              </w:rPr>
            </w:pPr>
            <w:r>
              <w:rPr>
                <w:rFonts w:hint="eastAsia" w:ascii="宋体" w:hAnsi="宋体" w:cs="宋体"/>
                <w:bCs/>
                <w:spacing w:val="0"/>
                <w:sz w:val="24"/>
                <w:szCs w:val="22"/>
              </w:rPr>
              <w:t>③钻孔：为了满足拼装需要或方便连接，需在部件与部件连接处钻孔，以便安装配件和连接件</w:t>
            </w:r>
            <w:r>
              <w:rPr>
                <w:rFonts w:hint="eastAsia" w:ascii="宋体" w:hAnsi="宋体" w:cs="宋体"/>
                <w:bCs/>
                <w:spacing w:val="0"/>
                <w:sz w:val="24"/>
                <w:szCs w:val="22"/>
                <w:lang w:eastAsia="zh-CN"/>
              </w:rPr>
              <w:t>，此过程产生的粉尘经集尘罩收集后通过</w:t>
            </w:r>
            <w:r>
              <w:rPr>
                <w:rFonts w:hint="eastAsia" w:ascii="宋体" w:hAnsi="宋体" w:cs="宋体"/>
                <w:bCs/>
                <w:spacing w:val="0"/>
                <w:sz w:val="24"/>
                <w:szCs w:val="22"/>
              </w:rPr>
              <w:t>布袋除尘器处理</w:t>
            </w:r>
            <w:r>
              <w:rPr>
                <w:rFonts w:hint="eastAsia" w:ascii="宋体" w:hAnsi="宋体" w:cs="宋体"/>
                <w:bCs/>
                <w:spacing w:val="0"/>
                <w:sz w:val="24"/>
                <w:szCs w:val="22"/>
                <w:lang w:eastAsia="zh-CN"/>
              </w:rPr>
              <w:t>。</w:t>
            </w:r>
          </w:p>
          <w:p>
            <w:pPr>
              <w:pStyle w:val="2"/>
              <w:spacing w:before="124" w:line="360" w:lineRule="auto"/>
              <w:ind w:right="258" w:firstLine="480" w:firstLineChars="200"/>
              <w:jc w:val="both"/>
              <w:rPr>
                <w:rFonts w:hint="eastAsia" w:ascii="宋体" w:hAnsi="宋体" w:cs="宋体"/>
                <w:bCs/>
                <w:spacing w:val="0"/>
                <w:sz w:val="24"/>
                <w:szCs w:val="22"/>
              </w:rPr>
            </w:pPr>
            <w:r>
              <w:rPr>
                <w:rFonts w:hint="eastAsia" w:ascii="宋体" w:hAnsi="宋体" w:cs="宋体"/>
                <w:bCs/>
                <w:spacing w:val="0"/>
                <w:sz w:val="24"/>
                <w:szCs w:val="22"/>
              </w:rPr>
              <w:t>④组装：通过钉装、拼装等将多个部件进行组装，放入库房。</w:t>
            </w:r>
          </w:p>
          <w:p>
            <w:pPr>
              <w:pStyle w:val="2"/>
              <w:spacing w:before="124" w:line="360" w:lineRule="auto"/>
              <w:ind w:right="258"/>
              <w:jc w:val="both"/>
              <w:rPr>
                <w:rFonts w:hint="eastAsia" w:ascii="宋体" w:hAnsi="宋体" w:eastAsia="宋体" w:cs="宋体"/>
                <w:bCs/>
                <w:spacing w:val="0"/>
                <w:sz w:val="24"/>
                <w:szCs w:val="22"/>
                <w:lang w:eastAsia="zh-CN"/>
              </w:rPr>
            </w:pPr>
            <w:r>
              <w:rPr>
                <w:rFonts w:hint="eastAsia" w:ascii="宋体" w:hAnsi="宋体" w:eastAsia="宋体" w:cs="宋体"/>
                <w:bCs/>
                <w:spacing w:val="0"/>
                <w:sz w:val="24"/>
                <w:szCs w:val="22"/>
                <w:lang w:eastAsia="zh-CN"/>
              </w:rPr>
              <w:drawing>
                <wp:inline distT="0" distB="0" distL="114300" distR="114300">
                  <wp:extent cx="5486400" cy="1571625"/>
                  <wp:effectExtent l="0" t="0" r="0" b="9525"/>
                  <wp:docPr id="2" name="图片 2" descr="157604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6044368(1)"/>
                          <pic:cNvPicPr>
                            <a:picLocks noChangeAspect="1"/>
                          </pic:cNvPicPr>
                        </pic:nvPicPr>
                        <pic:blipFill>
                          <a:blip r:embed="rId12"/>
                          <a:stretch>
                            <a:fillRect/>
                          </a:stretch>
                        </pic:blipFill>
                        <pic:spPr>
                          <a:xfrm>
                            <a:off x="0" y="0"/>
                            <a:ext cx="5486400" cy="1571625"/>
                          </a:xfrm>
                          <a:prstGeom prst="rect">
                            <a:avLst/>
                          </a:prstGeom>
                        </pic:spPr>
                      </pic:pic>
                    </a:graphicData>
                  </a:graphic>
                </wp:inline>
              </w:drawing>
            </w:r>
          </w:p>
          <w:p>
            <w:pPr>
              <w:pStyle w:val="30"/>
              <w:ind w:left="0" w:leftChars="0" w:firstLine="560" w:firstLineChars="200"/>
              <w:rPr>
                <w:rFonts w:hint="default"/>
                <w:lang w:val="en-US" w:eastAsia="zh-CN"/>
              </w:rPr>
            </w:pPr>
            <w:r>
              <w:rPr>
                <w:rFonts w:hint="eastAsia"/>
                <w:lang w:val="en-US" w:eastAsia="zh-CN"/>
              </w:rPr>
              <w:t xml:space="preserve">  </w:t>
            </w:r>
            <w:r>
              <w:rPr>
                <w:rFonts w:hint="eastAsia"/>
                <w:color w:val="auto"/>
                <w:sz w:val="24"/>
                <w:szCs w:val="24"/>
                <w:lang w:val="en-US" w:eastAsia="zh-CN"/>
              </w:rPr>
              <w:t xml:space="preserve">                </w:t>
            </w:r>
            <w:r>
              <w:rPr>
                <w:rFonts w:hint="eastAsia"/>
                <w:b/>
                <w:bCs/>
                <w:i w:val="0"/>
                <w:iCs w:val="0"/>
                <w:color w:val="auto"/>
                <w:sz w:val="24"/>
                <w:szCs w:val="24"/>
                <w:lang w:val="en-US" w:eastAsia="zh-CN"/>
              </w:rPr>
              <w:t xml:space="preserve">  本项目生产工艺流程图</w:t>
            </w: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3640" w:firstLineChars="1300"/>
              <w:rPr>
                <w:rFonts w:hint="eastAsia"/>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三</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spacing w:line="360" w:lineRule="exact"/>
              <w:rPr>
                <w:rFonts w:ascii="宋体" w:hAnsi="宋体"/>
                <w:b/>
                <w:bCs/>
                <w:color w:val="000000"/>
                <w:sz w:val="24"/>
              </w:rPr>
            </w:pPr>
            <w:r>
              <w:rPr>
                <w:rFonts w:hint="eastAsia" w:ascii="宋体" w:hAnsi="宋体"/>
                <w:b/>
                <w:bCs/>
                <w:color w:val="000000"/>
                <w:sz w:val="24"/>
              </w:rPr>
              <w:t>主要污染源、污染物处理和排放（附处理流程示意图，标出废水、废气、厂界噪声监测点位）</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1、主要污染源、污染物处理和排放</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（1）废水</w:t>
            </w:r>
          </w:p>
          <w:p>
            <w:pPr>
              <w:spacing w:line="360" w:lineRule="auto"/>
              <w:ind w:firstLine="480" w:firstLineChars="200"/>
              <w:rPr>
                <w:rFonts w:hint="default" w:ascii="Times New Roman" w:hAnsi="Times New Roman" w:cs="Times New Roman" w:eastAsiaTheme="minorEastAsia"/>
                <w:sz w:val="24"/>
              </w:rPr>
            </w:pPr>
            <w:r>
              <w:rPr>
                <w:rFonts w:hAnsi="宋体"/>
                <w:bCs/>
                <w:sz w:val="24"/>
                <w:szCs w:val="22"/>
              </w:rPr>
              <w:t>本项目</w:t>
            </w:r>
            <w:r>
              <w:rPr>
                <w:rFonts w:hint="eastAsia" w:hAnsi="宋体"/>
                <w:bCs/>
                <w:sz w:val="24"/>
                <w:szCs w:val="22"/>
                <w:lang w:eastAsia="zh-CN"/>
              </w:rPr>
              <w:t>生产不用水，无生产废水排放。</w:t>
            </w:r>
            <w:r>
              <w:rPr>
                <w:rFonts w:hAnsi="宋体"/>
                <w:bCs/>
                <w:sz w:val="24"/>
                <w:szCs w:val="22"/>
              </w:rPr>
              <w:t>产生的废水主要为生活污水。</w:t>
            </w:r>
            <w:r>
              <w:rPr>
                <w:rFonts w:hint="eastAsia" w:ascii="Times New Roman" w:hAnsi="Times New Roman" w:cs="Times New Roman"/>
                <w:sz w:val="24"/>
                <w:szCs w:val="28"/>
                <w:lang w:val="en-US" w:eastAsia="zh-CN"/>
              </w:rPr>
              <w:t>生活污水</w:t>
            </w:r>
            <w:r>
              <w:rPr>
                <w:rFonts w:hint="eastAsia" w:hAnsi="宋体"/>
                <w:bCs/>
                <w:sz w:val="24"/>
                <w:szCs w:val="24"/>
                <w:lang w:eastAsia="zh-CN"/>
              </w:rPr>
              <w:t>不含有化学物质，不含有有毒有害、重金属等杂质，化学性质稳定，结构简单，各项污染因子浓度较低，属于较清洁下水</w:t>
            </w:r>
            <w:r>
              <w:rPr>
                <w:rFonts w:hint="eastAsia" w:hAnsi="宋体"/>
                <w:bCs/>
                <w:sz w:val="24"/>
                <w:szCs w:val="22"/>
                <w:lang w:eastAsia="zh-CN"/>
              </w:rPr>
              <w:t>，全部排入企业自建防渗旱厕，定期清掏，用作农家肥料</w:t>
            </w:r>
            <w:r>
              <w:rPr>
                <w:rFonts w:hint="default" w:ascii="Times New Roman" w:hAnsi="Times New Roman" w:cs="Times New Roman" w:eastAsiaTheme="minorEastAsia"/>
                <w:sz w:val="24"/>
              </w:rPr>
              <w:t>。</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（2）废气</w:t>
            </w:r>
          </w:p>
          <w:p>
            <w:pPr>
              <w:spacing w:line="360" w:lineRule="auto"/>
              <w:ind w:firstLine="480" w:firstLineChars="200"/>
              <w:rPr>
                <w:rFonts w:hint="default" w:ascii="Times New Roman" w:hAnsi="Times New Roman" w:cs="Times New Roman" w:eastAsiaTheme="minorEastAsia"/>
                <w:sz w:val="24"/>
                <w:lang w:eastAsia="zh-CN"/>
              </w:rPr>
            </w:pPr>
            <w:r>
              <w:rPr>
                <w:rFonts w:hint="default" w:ascii="Times New Roman" w:hAnsi="Times New Roman" w:eastAsia="宋体" w:cs="Times New Roman"/>
                <w:sz w:val="24"/>
                <w:lang w:eastAsia="zh-CN"/>
              </w:rPr>
              <w:t>①</w:t>
            </w:r>
            <w:r>
              <w:rPr>
                <w:rFonts w:hint="eastAsia" w:cs="Times New Roman" w:eastAsiaTheme="minorEastAsia"/>
                <w:sz w:val="24"/>
                <w:lang w:eastAsia="zh-CN"/>
              </w:rPr>
              <w:t>颗粒物</w:t>
            </w:r>
          </w:p>
          <w:p>
            <w:pPr>
              <w:spacing w:line="360" w:lineRule="auto"/>
              <w:ind w:firstLine="480" w:firstLineChars="200"/>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本项目</w:t>
            </w:r>
            <w:r>
              <w:rPr>
                <w:rFonts w:hint="eastAsia" w:cs="Times New Roman"/>
                <w:sz w:val="24"/>
                <w:u w:val="none"/>
                <w:lang w:val="en-US" w:eastAsia="zh-CN"/>
              </w:rPr>
              <w:t>木材开料、钻孔、铣型、开榫程会产生颗粒物。全部工艺均在密闭车间内进行，每个工艺中每个单机设备均配备单机滤袋除尘器，将颗粒物集中收集后，定期处理。少量逸散的颗粒物无组织排放至车间内，以无组织形式逃逸至环境大气。</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②</w:t>
            </w:r>
            <w:r>
              <w:rPr>
                <w:rFonts w:hint="eastAsia" w:ascii="Times New Roman" w:hAnsi="Times New Roman" w:eastAsia="宋体" w:cs="Times New Roman"/>
                <w:sz w:val="24"/>
                <w:u w:val="none"/>
                <w:lang w:val="en-US" w:eastAsia="zh-CN"/>
              </w:rPr>
              <w:t>有机废气</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本项目</w:t>
            </w:r>
            <w:r>
              <w:rPr>
                <w:rFonts w:hint="eastAsia" w:ascii="Times New Roman" w:hAnsi="Times New Roman" w:eastAsia="宋体" w:cs="Times New Roman"/>
                <w:sz w:val="24"/>
                <w:u w:val="none"/>
                <w:lang w:val="en-US" w:eastAsia="zh-CN"/>
              </w:rPr>
              <w:t>封边工艺使用的白胶和热熔胶会产生少量的有机废气（以非甲烷总烃计）。本项目使用的热熔胶均属于环保无毒型木工胶，白胶和热熔胶裂解温度在300℃，封边工艺加热温度在100℃左右，也未达到裂解温度，本项目仅有极少量的有机废气产生，在此工艺上方设置集气装置，经收集后经过排气筒高空排放</w:t>
            </w:r>
            <w:r>
              <w:rPr>
                <w:rFonts w:hint="default" w:ascii="Times New Roman" w:hAnsi="Times New Roman" w:eastAsia="宋体" w:cs="Times New Roman"/>
                <w:sz w:val="24"/>
                <w:u w:val="none"/>
                <w:lang w:val="en-US" w:eastAsia="zh-CN"/>
              </w:rPr>
              <w:t>。</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③锅炉烟气</w:t>
            </w:r>
          </w:p>
          <w:p>
            <w:pPr>
              <w:pStyle w:val="67"/>
              <w:spacing w:line="360" w:lineRule="auto"/>
              <w:ind w:firstLine="480"/>
              <w:rPr>
                <w:rFonts w:hint="default"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本项目燃生物质锅炉锅炉已经停止使用，改为电热方式，不再产生此部分废气，若以后投入使用，会对锅炉进行环保验收。</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（3）噪声</w:t>
            </w:r>
          </w:p>
          <w:p>
            <w:pPr>
              <w:pStyle w:val="57"/>
              <w:rPr>
                <w:rFonts w:hint="default" w:ascii="Times New Roman" w:hAnsi="Times New Roman" w:cs="Times New Roman"/>
                <w:color w:val="000000"/>
                <w:sz w:val="24"/>
              </w:rPr>
            </w:pPr>
            <w:r>
              <w:rPr>
                <w:rFonts w:hint="default" w:ascii="Times New Roman" w:hAnsi="Times New Roman" w:cs="Times New Roman"/>
                <w:lang w:eastAsia="zh-CN"/>
              </w:rPr>
              <w:t>本项目噪声主要来自生产设备（</w:t>
            </w:r>
            <w:r>
              <w:rPr>
                <w:rFonts w:hint="eastAsia" w:cs="Times New Roman"/>
                <w:bCs/>
                <w:iCs/>
                <w:sz w:val="24"/>
                <w:lang w:eastAsia="zh-CN"/>
              </w:rPr>
              <w:t>开料</w:t>
            </w:r>
            <w:r>
              <w:rPr>
                <w:rFonts w:hint="default" w:ascii="Times New Roman" w:hAnsi="Times New Roman" w:cs="Times New Roman"/>
                <w:bCs/>
                <w:iCs/>
                <w:sz w:val="24"/>
              </w:rPr>
              <w:t>机、</w:t>
            </w:r>
            <w:r>
              <w:rPr>
                <w:rFonts w:hint="eastAsia" w:ascii="Times New Roman" w:hAnsi="Times New Roman" w:cs="Times New Roman"/>
                <w:bCs/>
                <w:iCs/>
                <w:sz w:val="24"/>
                <w:lang w:eastAsia="zh-CN"/>
              </w:rPr>
              <w:t>裁板锯</w:t>
            </w:r>
            <w:r>
              <w:rPr>
                <w:rFonts w:hint="default" w:ascii="Times New Roman" w:hAnsi="Times New Roman" w:cs="Times New Roman"/>
                <w:bCs/>
                <w:iCs/>
                <w:sz w:val="24"/>
              </w:rPr>
              <w:t>、</w:t>
            </w:r>
            <w:r>
              <w:rPr>
                <w:rFonts w:hint="eastAsia" w:cs="Times New Roman"/>
                <w:bCs/>
                <w:iCs/>
                <w:sz w:val="24"/>
                <w:lang w:eastAsia="zh-CN"/>
              </w:rPr>
              <w:t>钻孔机、开榫机</w:t>
            </w:r>
            <w:r>
              <w:rPr>
                <w:rFonts w:hint="default" w:ascii="Times New Roman" w:hAnsi="Times New Roman" w:cs="Times New Roman"/>
                <w:bCs/>
                <w:iCs/>
                <w:sz w:val="24"/>
              </w:rPr>
              <w:t>等</w:t>
            </w:r>
            <w:r>
              <w:rPr>
                <w:rFonts w:hint="default" w:ascii="Times New Roman" w:hAnsi="Times New Roman" w:cs="Times New Roman"/>
                <w:lang w:eastAsia="zh-CN"/>
              </w:rPr>
              <w:t>），首选低噪声设备，其次在安装设备过程中，进行基础减振、安装隔振垫，设备加隔音罩，并加强设备日常</w:t>
            </w:r>
            <w:r>
              <w:rPr>
                <w:rFonts w:hint="default" w:ascii="Times New Roman" w:cs="Times New Roman" w:hAnsiTheme="minorEastAsia" w:eastAsiaTheme="minorEastAsia"/>
                <w:color w:val="auto"/>
                <w:kern w:val="2"/>
                <w:sz w:val="24"/>
                <w:szCs w:val="24"/>
                <w:lang w:val="en-US" w:eastAsia="zh-CN" w:bidi="ar-SA"/>
              </w:rPr>
              <w:t>维护，再经过密闭厂房及窗户、距离衰减及绿化以后</w:t>
            </w:r>
            <w:r>
              <w:rPr>
                <w:rFonts w:hint="default" w:ascii="Times New Roman" w:hAnsi="Times New Roman" w:cs="Times New Roman"/>
                <w:lang w:eastAsia="zh-CN"/>
              </w:rPr>
              <w:t>，可以满足《工业企业厂界环境噪声排放标准》（</w:t>
            </w:r>
            <w:r>
              <w:rPr>
                <w:rFonts w:hint="default" w:ascii="Times New Roman" w:hAnsi="Times New Roman" w:cs="Times New Roman"/>
                <w:lang w:val="en-US" w:eastAsia="zh-CN"/>
              </w:rPr>
              <w:t>GB12348-2008</w:t>
            </w:r>
            <w:r>
              <w:rPr>
                <w:rFonts w:hint="default" w:ascii="Times New Roman" w:hAnsi="Times New Roman" w:cs="Times New Roman"/>
                <w:lang w:eastAsia="zh-CN"/>
              </w:rPr>
              <w:t>）中</w:t>
            </w:r>
            <w:r>
              <w:rPr>
                <w:rFonts w:hint="eastAsia" w:cs="Times New Roman"/>
                <w:lang w:val="en-US" w:eastAsia="zh-CN"/>
              </w:rPr>
              <w:t>2</w:t>
            </w:r>
            <w:r>
              <w:rPr>
                <w:rFonts w:hint="default" w:ascii="Times New Roman" w:hAnsi="Times New Roman" w:cs="Times New Roman"/>
                <w:lang w:val="en-US" w:eastAsia="zh-CN"/>
              </w:rPr>
              <w:t>类排放标准</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（4）固体废物</w:t>
            </w:r>
          </w:p>
          <w:p>
            <w:pPr>
              <w:pStyle w:val="30"/>
              <w:ind w:left="0" w:leftChars="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本项目固体废物为生活垃圾、锅炉炉灰、废边角料、废包装袋、废胶桶及生产车间布袋除尘器收集到的木质粉尘。</w:t>
            </w:r>
          </w:p>
          <w:p>
            <w:pPr>
              <w:pStyle w:val="30"/>
              <w:ind w:left="0" w:leftChars="0" w:firstLine="480" w:firstLineChars="200"/>
              <w:rPr>
                <w:rFonts w:hint="default"/>
                <w:color w:val="auto"/>
                <w:sz w:val="24"/>
                <w:szCs w:val="24"/>
                <w:lang w:val="en-US" w:eastAsia="zh-CN"/>
              </w:rPr>
            </w:pPr>
            <w:r>
              <w:rPr>
                <w:rFonts w:hint="eastAsia" w:ascii="Times New Roman" w:hAnsi="Times New Roman" w:cs="Times New Roman"/>
                <w:color w:val="auto"/>
                <w:sz w:val="24"/>
                <w:szCs w:val="24"/>
                <w:lang w:val="en-US" w:eastAsia="zh-CN"/>
              </w:rPr>
              <w:t>本项目生活垃圾集中收集后交由环卫部门处理；废边角料卖给相关企业回收利用；废包装袋和生产车间布袋除尘器收集到的木质粉尘统一交由环卫部门处理；由于乳白胶不含有害物质，为环保型乳白胶。因此其废胶桶不属于危险废物，厂区不设危险废物暂存间。废胶桶由厂家回收。</w:t>
            </w:r>
          </w:p>
          <w:p>
            <w:pPr>
              <w:spacing w:line="360" w:lineRule="auto"/>
              <w:ind w:firstLine="480" w:firstLineChars="200"/>
              <w:jc w:val="both"/>
              <w:rPr>
                <w:rFonts w:hint="default" w:ascii="Times New Roman" w:hAnsi="Times New Roman" w:eastAsia="宋体" w:cs="Times New Roman"/>
                <w:color w:val="auto"/>
                <w:sz w:val="24"/>
                <w:szCs w:val="24"/>
              </w:rPr>
            </w:pPr>
            <w:r>
              <w:rPr>
                <w:rFonts w:hint="eastAsia"/>
                <w:color w:val="auto"/>
                <w:sz w:val="24"/>
                <w:lang w:val="en-US" w:eastAsia="zh-CN"/>
              </w:rPr>
              <w:t>2</w:t>
            </w:r>
            <w:r>
              <w:rPr>
                <w:rFonts w:hint="default" w:ascii="Times New Roman" w:hAnsi="Times New Roman" w:eastAsia="宋体" w:cs="Times New Roman"/>
                <w:color w:val="auto"/>
                <w:sz w:val="24"/>
                <w:szCs w:val="24"/>
              </w:rPr>
              <w:t>、环保设施投资及“三同时”落实情况</w:t>
            </w:r>
          </w:p>
          <w:p>
            <w:pPr>
              <w:pStyle w:val="61"/>
              <w:rPr>
                <w:rFonts w:hint="default" w:ascii="Times New Roman" w:hAnsi="Times New Roman" w:cs="Times New Roman"/>
                <w:szCs w:val="24"/>
                <w:lang w:val="en-US" w:eastAsia="zh-CN"/>
              </w:rPr>
            </w:pPr>
            <w:r>
              <w:rPr>
                <w:rFonts w:hint="default" w:ascii="Times New Roman" w:hAnsi="Times New Roman" w:eastAsia="宋体" w:cs="Times New Roman"/>
                <w:sz w:val="24"/>
                <w:szCs w:val="24"/>
                <w:lang w:val="en-US" w:eastAsia="zh-CN"/>
              </w:rPr>
              <w:t>项目环保设施投资落实情况如下</w:t>
            </w:r>
            <w:r>
              <w:rPr>
                <w:rFonts w:hint="default" w:ascii="Times New Roman" w:hAnsi="Times New Roman" w:cs="Times New Roman"/>
                <w:sz w:val="24"/>
                <w:szCs w:val="24"/>
                <w:lang w:val="en-US" w:eastAsia="zh-CN"/>
              </w:rPr>
              <w:t>：</w:t>
            </w:r>
          </w:p>
          <w:p>
            <w:pPr>
              <w:pStyle w:val="63"/>
              <w:spacing w:before="156"/>
              <w:rPr>
                <w:rFonts w:hint="default" w:ascii="Times New Roman" w:hAnsi="Times New Roman" w:cs="Times New Roman"/>
                <w:b w:val="0"/>
                <w:sz w:val="24"/>
                <w:szCs w:val="24"/>
              </w:rPr>
            </w:pPr>
            <w:r>
              <w:rPr>
                <w:rFonts w:hint="default" w:ascii="Times New Roman" w:hAnsi="Times New Roman" w:cs="Times New Roman"/>
                <w:b w:val="0"/>
                <w:sz w:val="24"/>
                <w:szCs w:val="24"/>
              </w:rPr>
              <w:t>表3-1 环保设施建设及投资情况表</w:t>
            </w:r>
          </w:p>
          <w:tbl>
            <w:tblPr>
              <w:tblStyle w:val="26"/>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345"/>
              <w:gridCol w:w="703"/>
              <w:gridCol w:w="2397"/>
              <w:gridCol w:w="4107"/>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57" w:type="dxa"/>
                  <w:gridSpan w:val="2"/>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序号</w:t>
                  </w:r>
                </w:p>
              </w:tc>
              <w:tc>
                <w:tcPr>
                  <w:tcW w:w="3100" w:type="dxa"/>
                  <w:gridSpan w:val="2"/>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项目</w:t>
                  </w:r>
                </w:p>
              </w:tc>
              <w:tc>
                <w:tcPr>
                  <w:tcW w:w="4107" w:type="dxa"/>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内容</w:t>
                  </w:r>
                </w:p>
              </w:tc>
              <w:tc>
                <w:tcPr>
                  <w:tcW w:w="814" w:type="dxa"/>
                  <w:tcBorders>
                    <w:top w:val="single" w:color="auto" w:sz="12" w:space="0"/>
                    <w:left w:val="nil"/>
                    <w:bottom w:val="single" w:color="auto" w:sz="4" w:space="0"/>
                    <w:right w:val="nil"/>
                  </w:tcBorders>
                  <w:vAlign w:val="center"/>
                </w:tcPr>
                <w:p>
                  <w:pPr>
                    <w:spacing w:line="240" w:lineRule="auto"/>
                    <w:jc w:val="center"/>
                    <w:rPr>
                      <w:bCs/>
                      <w:sz w:val="21"/>
                      <w:szCs w:val="21"/>
                    </w:rPr>
                  </w:pPr>
                  <w:r>
                    <w:rPr>
                      <w:bCs/>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restart"/>
                  <w:tcBorders>
                    <w:top w:val="nil"/>
                    <w:left w:val="nil"/>
                    <w:right w:val="single" w:color="auto" w:sz="4" w:space="0"/>
                  </w:tcBorders>
                  <w:vAlign w:val="center"/>
                </w:tcPr>
                <w:p>
                  <w:pPr>
                    <w:spacing w:line="240" w:lineRule="auto"/>
                    <w:jc w:val="center"/>
                    <w:rPr>
                      <w:sz w:val="21"/>
                      <w:szCs w:val="21"/>
                    </w:rPr>
                  </w:pPr>
                  <w:r>
                    <w:rPr>
                      <w:rFonts w:hint="eastAsia"/>
                      <w:sz w:val="21"/>
                      <w:szCs w:val="21"/>
                    </w:rPr>
                    <w:t>施工期</w:t>
                  </w: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1</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废水</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施工生活、施工废水</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沉淀池</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2</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废气</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施工扬尘、汽车尾气</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洒水降尘+减少超载，减少停车怠速时间</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3</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噪声</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低噪声机械设备+设备维修+合理安排施工时间+缩短工作时间</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4</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固体废物</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施工生活</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垃圾桶收集+建筑废料外运</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restart"/>
                  <w:tcBorders>
                    <w:top w:val="nil"/>
                    <w:left w:val="nil"/>
                    <w:right w:val="single" w:color="auto" w:sz="4" w:space="0"/>
                  </w:tcBorders>
                  <w:vAlign w:val="center"/>
                </w:tcPr>
                <w:p>
                  <w:pPr>
                    <w:spacing w:line="240" w:lineRule="auto"/>
                    <w:jc w:val="center"/>
                    <w:rPr>
                      <w:sz w:val="21"/>
                      <w:szCs w:val="21"/>
                    </w:rPr>
                  </w:pPr>
                  <w:r>
                    <w:rPr>
                      <w:rFonts w:hint="eastAsia"/>
                      <w:sz w:val="21"/>
                      <w:szCs w:val="21"/>
                    </w:rPr>
                    <w:t>营运期</w:t>
                  </w: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1</w:t>
                  </w:r>
                </w:p>
              </w:tc>
              <w:tc>
                <w:tcPr>
                  <w:tcW w:w="703"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废水</w:t>
                  </w: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生活污水</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防渗旱厕</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restart"/>
                  <w:tcBorders>
                    <w:left w:val="nil"/>
                    <w:right w:val="single" w:color="auto" w:sz="4" w:space="0"/>
                  </w:tcBorders>
                  <w:vAlign w:val="center"/>
                </w:tcPr>
                <w:p>
                  <w:pPr>
                    <w:spacing w:line="240" w:lineRule="auto"/>
                    <w:jc w:val="center"/>
                    <w:rPr>
                      <w:sz w:val="21"/>
                      <w:szCs w:val="21"/>
                    </w:rPr>
                  </w:pPr>
                </w:p>
              </w:tc>
              <w:tc>
                <w:tcPr>
                  <w:tcW w:w="703" w:type="dxa"/>
                  <w:vMerge w:val="restart"/>
                  <w:tcBorders>
                    <w:left w:val="nil"/>
                    <w:right w:val="single" w:color="auto" w:sz="4" w:space="0"/>
                  </w:tcBorders>
                  <w:vAlign w:val="center"/>
                </w:tcPr>
                <w:p>
                  <w:pPr>
                    <w:spacing w:line="240" w:lineRule="auto"/>
                    <w:jc w:val="center"/>
                    <w:rPr>
                      <w:sz w:val="21"/>
                      <w:szCs w:val="21"/>
                    </w:rPr>
                  </w:pP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有机废气</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集气罩+生产车间15m高排气筒</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木质粉尘</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中央集尘系统+布袋除尘器+生产车间15m高排气筒</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3</w:t>
                  </w:r>
                </w:p>
              </w:tc>
              <w:tc>
                <w:tcPr>
                  <w:tcW w:w="703"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噪声</w:t>
                  </w: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设备噪声</w:t>
                  </w:r>
                </w:p>
              </w:tc>
              <w:tc>
                <w:tcPr>
                  <w:tcW w:w="410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选用低噪声设备，安装防振减噪措施，风机加隔音罩。</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4</w:t>
                  </w:r>
                </w:p>
              </w:tc>
              <w:tc>
                <w:tcPr>
                  <w:tcW w:w="703"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固废</w:t>
                  </w: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生活垃圾</w:t>
                  </w:r>
                </w:p>
              </w:tc>
              <w:tc>
                <w:tcPr>
                  <w:tcW w:w="4107"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交由环卫部门处理。</w:t>
                  </w:r>
                </w:p>
              </w:tc>
              <w:tc>
                <w:tcPr>
                  <w:tcW w:w="814" w:type="dxa"/>
                  <w:vMerge w:val="restart"/>
                  <w:tcBorders>
                    <w:top w:val="single" w:color="auto" w:sz="4" w:space="0"/>
                    <w:left w:val="nil"/>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废包装袋</w:t>
                  </w:r>
                </w:p>
              </w:tc>
              <w:tc>
                <w:tcPr>
                  <w:tcW w:w="4107" w:type="dxa"/>
                  <w:vMerge w:val="continue"/>
                  <w:tcBorders>
                    <w:left w:val="nil"/>
                    <w:right w:val="single" w:color="auto" w:sz="4" w:space="0"/>
                  </w:tcBorders>
                  <w:vAlign w:val="center"/>
                </w:tcPr>
                <w:p>
                  <w:pPr>
                    <w:spacing w:line="240" w:lineRule="auto"/>
                    <w:jc w:val="center"/>
                    <w:rPr>
                      <w:sz w:val="21"/>
                      <w:szCs w:val="21"/>
                    </w:rPr>
                  </w:pPr>
                </w:p>
              </w:tc>
              <w:tc>
                <w:tcPr>
                  <w:tcW w:w="814" w:type="dxa"/>
                  <w:vMerge w:val="continue"/>
                  <w:tcBorders>
                    <w:left w:val="nil"/>
                    <w:right w:val="nil"/>
                  </w:tcBorders>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除尘器收集的木质粉尘</w:t>
                  </w:r>
                </w:p>
              </w:tc>
              <w:tc>
                <w:tcPr>
                  <w:tcW w:w="4107"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814" w:type="dxa"/>
                  <w:vMerge w:val="continue"/>
                  <w:tcBorders>
                    <w:left w:val="nil"/>
                    <w:bottom w:val="single" w:color="auto" w:sz="4" w:space="0"/>
                    <w:right w:val="nil"/>
                  </w:tcBorders>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964" w:type="dxa"/>
                  <w:gridSpan w:val="5"/>
                  <w:tcBorders>
                    <w:left w:val="nil"/>
                    <w:bottom w:val="single" w:color="auto" w:sz="12" w:space="0"/>
                    <w:right w:val="single" w:color="auto" w:sz="4" w:space="0"/>
                  </w:tcBorders>
                  <w:vAlign w:val="center"/>
                </w:tcPr>
                <w:p>
                  <w:pPr>
                    <w:spacing w:line="240" w:lineRule="auto"/>
                    <w:jc w:val="center"/>
                    <w:rPr>
                      <w:sz w:val="21"/>
                      <w:szCs w:val="21"/>
                    </w:rPr>
                  </w:pPr>
                  <w:r>
                    <w:rPr>
                      <w:rFonts w:hint="eastAsia"/>
                      <w:sz w:val="21"/>
                      <w:szCs w:val="21"/>
                    </w:rPr>
                    <w:t>合计</w:t>
                  </w:r>
                </w:p>
              </w:tc>
              <w:tc>
                <w:tcPr>
                  <w:tcW w:w="814" w:type="dxa"/>
                  <w:tcBorders>
                    <w:top w:val="single" w:color="auto" w:sz="4" w:space="0"/>
                    <w:left w:val="nil"/>
                    <w:bottom w:val="single" w:color="auto" w:sz="12" w:space="0"/>
                    <w:right w:val="nil"/>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10</w:t>
                  </w:r>
                </w:p>
              </w:tc>
            </w:tr>
          </w:tbl>
          <w:p>
            <w:pPr>
              <w:spacing w:line="360" w:lineRule="exact"/>
              <w:rPr>
                <w:rFonts w:hint="default" w:eastAsia="仿宋_GB2312"/>
                <w:color w:val="000000"/>
                <w:szCs w:val="21"/>
                <w:lang w:val="en-US" w:eastAsia="zh-CN"/>
              </w:rPr>
            </w:pPr>
            <w:r>
              <w:rPr>
                <w:rFonts w:hint="eastAsia" w:eastAsia="仿宋_GB2312"/>
                <w:color w:val="000000"/>
                <w:szCs w:val="21"/>
                <w:lang w:eastAsia="zh-CN"/>
              </w:rPr>
              <w:t>含有企业环境管理及监测费用</w:t>
            </w:r>
            <w:r>
              <w:rPr>
                <w:rFonts w:hint="eastAsia" w:eastAsia="仿宋_GB2312"/>
                <w:color w:val="000000"/>
                <w:szCs w:val="21"/>
                <w:lang w:val="en-US" w:eastAsia="zh-CN"/>
              </w:rPr>
              <w:t>。</w:t>
            </w:r>
          </w:p>
        </w:tc>
      </w:tr>
    </w:tbl>
    <w:p>
      <w:pPr>
        <w:pStyle w:val="4"/>
        <w:spacing w:before="0" w:after="0" w:line="240" w:lineRule="auto"/>
        <w:ind w:firstLine="482" w:firstLineChars="200"/>
        <w:rPr>
          <w:rFonts w:ascii="宋体" w:hAnsi="宋体" w:eastAsia="宋体"/>
          <w:sz w:val="24"/>
        </w:rPr>
      </w:pPr>
      <w:bookmarkStart w:id="3" w:name="_Toc513624170"/>
      <w:bookmarkStart w:id="4" w:name="_Toc513624171"/>
      <w:r>
        <w:rPr>
          <w:rFonts w:ascii="宋体" w:hAnsi="宋体" w:eastAsia="宋体"/>
          <w:sz w:val="24"/>
        </w:rPr>
        <w:t>表</w:t>
      </w:r>
      <w:r>
        <w:rPr>
          <w:rFonts w:hint="eastAsia" w:ascii="宋体" w:hAnsi="宋体" w:eastAsia="宋体"/>
          <w:sz w:val="24"/>
        </w:rPr>
        <w:t>四</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建设项目环境影响报告表主要结论及审批部门审批决定：</w:t>
            </w:r>
          </w:p>
          <w:p>
            <w:pPr>
              <w:pStyle w:val="51"/>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11.1项目概况</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德惠市万宝镇超达傢木门加工厂拟投资100万元在德惠市万宝镇大王家村十社建设《德惠市万宝镇超达傢木门加工厂年产免漆强化木门4000套项目》，项目建成后拟达到年产免漆强化木门4000套木门的生产能力，使用的土地为新增建设用地。</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项目厂区北侧为德惠市万宝镇宇欣盛典木门加工厂，东侧为旱地，南侧为旱田，西侧为旱地。</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本项目厂区占地面积4000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，建筑面积为2080m</w:t>
            </w:r>
            <w:r>
              <w:rPr>
                <w:rFonts w:hint="default" w:ascii="Times New Roman" w:hAnsi="Times New Roman"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。使用的土地性质为新增建设用地，根据企业提供的资料以及现场踏勘，项目拟建建筑物主要包括办公室（80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）、仓库（1000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）、生产车间（1000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w:t>
            </w:r>
          </w:p>
          <w:p>
            <w:pPr>
              <w:spacing w:before="62" w:beforeLines="20" w:line="360" w:lineRule="auto"/>
              <w:ind w:firstLine="482" w:firstLineChars="200"/>
              <w:rPr>
                <w:rFonts w:hint="default" w:ascii="Times New Roman" w:hAnsi="Times New Roman" w:cs="Times New Roman"/>
                <w:b/>
                <w:bCs/>
                <w:color w:val="000000"/>
                <w:sz w:val="24"/>
                <w:lang w:eastAsia="zh-CN"/>
              </w:rPr>
            </w:pPr>
            <w:r>
              <w:rPr>
                <w:rFonts w:hint="default" w:ascii="Times New Roman" w:hAnsi="Times New Roman" w:cs="Times New Roman"/>
                <w:b/>
                <w:bCs/>
                <w:color w:val="000000"/>
                <w:sz w:val="24"/>
                <w:lang w:val="en-US" w:eastAsia="zh-CN"/>
              </w:rPr>
              <w:t>11.2</w:t>
            </w:r>
            <w:r>
              <w:rPr>
                <w:rFonts w:hint="default" w:ascii="Times New Roman" w:hAnsi="Times New Roman" w:cs="Times New Roman"/>
                <w:b/>
                <w:bCs/>
                <w:color w:val="000000"/>
                <w:sz w:val="24"/>
                <w:lang w:eastAsia="zh-CN"/>
              </w:rPr>
              <w:t>环境可行性评价结论</w:t>
            </w:r>
          </w:p>
          <w:p>
            <w:p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11.2.1产业政策的符合性分析</w:t>
            </w:r>
          </w:p>
          <w:p>
            <w:pPr>
              <w:spacing w:line="360" w:lineRule="auto"/>
              <w:ind w:firstLine="480" w:firstLineChars="200"/>
              <w:rPr>
                <w:rFonts w:hint="default" w:ascii="Times New Roman" w:hAnsi="Times New Roman" w:cs="Times New Roman"/>
                <w:b w:val="0"/>
                <w:bCs w:val="0"/>
                <w:color w:val="000000"/>
                <w:sz w:val="24"/>
                <w:lang w:val="en-US" w:eastAsia="zh-CN"/>
              </w:rPr>
            </w:pPr>
            <w:r>
              <w:rPr>
                <w:rFonts w:hint="default" w:ascii="Times New Roman" w:hAnsi="Times New Roman" w:cs="Times New Roman"/>
                <w:sz w:val="24"/>
                <w:szCs w:val="24"/>
              </w:rPr>
              <w:t>根据国家发改委第21号令《产业结构调整指导目录（2011年）》（修正2013年）的有关规定，该项目及所用设备不属于国家鼓励、限制、淘汰类建设项目，属于允许类，符合国家及地方相关产业政策的要求。</w:t>
            </w:r>
          </w:p>
          <w:p>
            <w:p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11.2.2选址合理性、规划相容性分析</w:t>
            </w:r>
          </w:p>
          <w:p>
            <w:pPr>
              <w:pStyle w:val="25"/>
              <w:adjustRightInd w:val="0"/>
              <w:snapToGrid w:val="0"/>
              <w:spacing w:after="0" w:line="360" w:lineRule="auto"/>
              <w:ind w:firstLine="482" w:firstLineChars="0"/>
              <w:jc w:val="left"/>
              <w:rPr>
                <w:rFonts w:hint="default" w:ascii="Times New Roman" w:hAnsi="Times New Roman" w:eastAsia="宋体" w:cs="Times New Roman"/>
                <w:sz w:val="24"/>
                <w:szCs w:val="24"/>
                <w:lang w:eastAsia="zh-CN"/>
              </w:rPr>
            </w:pPr>
            <w:r>
              <w:rPr>
                <w:rFonts w:hint="default" w:ascii="Times New Roman" w:hAnsi="Times New Roman" w:cs="Times New Roman"/>
                <w:color w:val="000000"/>
                <w:kern w:val="2"/>
                <w:sz w:val="24"/>
                <w:szCs w:val="24"/>
              </w:rPr>
              <w:t>本项目位于吉林省德惠市米沙子工业集中区，各项污染物经相应治理后，污染物排放对区域环境的影响在可接受水平范围内，在落实本环评所述污染防治措施的前提下，污染物能够达标排放。因此，该项目选址合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1.产业政策可行性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经查询国家发展改革委员会令第21号《产业结构调整指导目录》（2011年本）（2013年修订），本项目不属于鼓励类、限制类及淘汰类项目，可视为本项目允许建设，符合国家产业政策。</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2.与总体规划相容性分析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德惠市万宝镇</w:t>
            </w:r>
            <w:r>
              <w:rPr>
                <w:rFonts w:hint="default" w:ascii="Times New Roman" w:hAnsi="Times New Roman" w:cs="Times New Roman"/>
                <w:sz w:val="24"/>
                <w:szCs w:val="24"/>
                <w:lang w:eastAsia="zh-CN"/>
              </w:rPr>
              <w:t>宇欣盛典</w:t>
            </w:r>
            <w:r>
              <w:rPr>
                <w:rFonts w:hint="default" w:ascii="Times New Roman" w:hAnsi="Times New Roman" w:cs="Times New Roman"/>
                <w:sz w:val="24"/>
                <w:szCs w:val="24"/>
              </w:rPr>
              <w:t>木门加工厂位于德惠市万宝镇大王家村十社，从事</w:t>
            </w:r>
            <w:r>
              <w:rPr>
                <w:rFonts w:hint="default" w:ascii="Times New Roman" w:hAnsi="Times New Roman" w:cs="Times New Roman"/>
                <w:sz w:val="24"/>
                <w:szCs w:val="24"/>
                <w:lang w:eastAsia="zh-CN"/>
              </w:rPr>
              <w:t>木质家具制造</w:t>
            </w:r>
            <w:r>
              <w:rPr>
                <w:rFonts w:hint="default" w:ascii="Times New Roman" w:hAnsi="Times New Roman" w:cs="Times New Roman"/>
                <w:sz w:val="24"/>
                <w:szCs w:val="24"/>
              </w:rPr>
              <w:t>，本项目所在地建设用地为新增建设用地（正在办理征用手续，详见附件），项目厂区北侧为</w:t>
            </w:r>
            <w:r>
              <w:rPr>
                <w:rFonts w:hint="default" w:ascii="Times New Roman" w:hAnsi="Times New Roman" w:cs="Times New Roman"/>
                <w:sz w:val="24"/>
                <w:szCs w:val="24"/>
                <w:lang w:eastAsia="zh-CN"/>
              </w:rPr>
              <w:t>旱地</w:t>
            </w:r>
            <w:r>
              <w:rPr>
                <w:rFonts w:hint="default" w:ascii="Times New Roman" w:hAnsi="Times New Roman" w:cs="Times New Roman"/>
                <w:sz w:val="24"/>
                <w:szCs w:val="24"/>
              </w:rPr>
              <w:t>，东侧为旱地，南侧为德惠市万宝镇</w:t>
            </w:r>
            <w:r>
              <w:rPr>
                <w:rFonts w:hint="default" w:ascii="Times New Roman" w:hAnsi="Times New Roman" w:cs="Times New Roman"/>
                <w:sz w:val="24"/>
                <w:szCs w:val="24"/>
                <w:lang w:eastAsia="zh-CN"/>
              </w:rPr>
              <w:t>超达傢</w:t>
            </w:r>
            <w:r>
              <w:rPr>
                <w:rFonts w:hint="default" w:ascii="Times New Roman" w:hAnsi="Times New Roman" w:cs="Times New Roman"/>
                <w:sz w:val="24"/>
                <w:szCs w:val="24"/>
              </w:rPr>
              <w:t>木门加工厂，西侧为旱地</w:t>
            </w:r>
            <w:r>
              <w:rPr>
                <w:rFonts w:hint="default" w:ascii="Times New Roman" w:hAnsi="Times New Roman" w:cs="Times New Roman"/>
                <w:sz w:val="24"/>
                <w:szCs w:val="24"/>
                <w:lang w:eastAsia="zh-CN"/>
              </w:rPr>
              <w:t>，</w:t>
            </w:r>
            <w:r>
              <w:rPr>
                <w:rFonts w:hint="default" w:ascii="Times New Roman" w:hAnsi="Times New Roman" w:cs="Times New Roman"/>
                <w:sz w:val="24"/>
                <w:szCs w:val="24"/>
              </w:rPr>
              <w:t>符合总体规划以及土地利用规划。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3.环境功能区划要求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根据主管部门功能区划，该区域位于地表水Ⅴ类区、大气二类区、声环境2类区，企业对产生的污染物采取了有效的治理措施，在日常运营过程中加强环保设施的维修与保养的前提下，满足区划要求。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4.污染治理措施分析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产生的废水均不外排；产生的废气经相应处理后，对周围环境空气影响较小；本项目主要噪声源为设备运行噪声，采取措施后，再经距离衰减后，能够满足相应标准要求；固体废物均得到相应处置，不产生二次污染。</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综上所述，该项目对所在区域环境的影响在可接受水平。</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5、项目选址可行性分析结论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本项目符合城市总体规划，符合国家相关产业政策，在日常运营过程中加强环保设施维护与保养的前提下，满足区划要求。综上所述，本项目选址合理。</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11.2.3总量控制</w:t>
            </w:r>
          </w:p>
          <w:p>
            <w:pPr>
              <w:spacing w:line="360" w:lineRule="auto"/>
              <w:ind w:firstLine="480" w:firstLineChars="200"/>
              <w:rPr>
                <w:rFonts w:hint="default" w:ascii="Times New Roman" w:hAnsi="Times New Roman" w:eastAsia="宋体" w:cs="Times New Roman"/>
                <w:b w:val="0"/>
                <w:bCs w:val="0"/>
                <w:color w:val="000000"/>
                <w:sz w:val="24"/>
                <w:lang w:val="en-US" w:eastAsia="zh-CN"/>
              </w:rPr>
            </w:pPr>
            <w:r>
              <w:rPr>
                <w:rFonts w:hint="eastAsia" w:ascii="宋体" w:hAnsi="宋体"/>
                <w:sz w:val="24"/>
                <w:szCs w:val="24"/>
              </w:rPr>
              <w:t>本项目废水均不外排，不</w:t>
            </w:r>
            <w:r>
              <w:rPr>
                <w:rFonts w:hint="default" w:ascii="Times New Roman" w:hAnsi="Times New Roman" w:cs="Times New Roman"/>
                <w:sz w:val="24"/>
                <w:szCs w:val="24"/>
              </w:rPr>
              <w:t>涉及COD和NH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-N排放；本项目燃生物质锅炉烟气达标排放，本报告建议将预测排放量作为总量控制指标的参考值，即SO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：0.3604t/a、NO</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rPr>
              <w:t>：0.43t/a、烟尘：0.0021t/a。</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11.2.4区域环境质量现状结论</w:t>
            </w:r>
          </w:p>
          <w:p>
            <w:pPr>
              <w:numPr>
                <w:ilvl w:val="0"/>
                <w:numId w:val="0"/>
              </w:numPr>
              <w:spacing w:before="62" w:beforeLines="20" w:line="360" w:lineRule="auto"/>
              <w:ind w:firstLine="480" w:firstLineChars="200"/>
              <w:rPr>
                <w:rFonts w:hAnsi="宋体"/>
                <w:sz w:val="24"/>
              </w:rPr>
            </w:pPr>
            <w:r>
              <w:rPr>
                <w:rFonts w:hint="eastAsia" w:hAnsi="宋体"/>
                <w:sz w:val="24"/>
              </w:rPr>
              <w:t>（1）地表水</w:t>
            </w:r>
          </w:p>
          <w:p>
            <w:pPr>
              <w:numPr>
                <w:ilvl w:val="0"/>
                <w:numId w:val="0"/>
              </w:numPr>
              <w:spacing w:before="62" w:beforeLines="20" w:line="360" w:lineRule="auto"/>
              <w:ind w:firstLine="480" w:firstLineChars="200"/>
              <w:rPr>
                <w:rFonts w:hAnsi="宋体"/>
                <w:sz w:val="24"/>
              </w:rPr>
            </w:pPr>
            <w:r>
              <w:rPr>
                <w:rFonts w:hint="eastAsia" w:hAnsi="宋体"/>
                <w:sz w:val="24"/>
              </w:rPr>
              <w:t>评价结果表明，除pH及BOD5外，各指标均有不同程度的超标，水质均不满足Ⅴ类标准要求。其中氨氮和COD均超过Ⅴ类标准，最大超标倍数分别为0.635和0.08。分析其原因，是由于上游伊通河沿岸生活污水及工业废水未经处理直接排放所致，应加强水污染管理力度，全面覆盖污水管线的敷设，可缓解水体超标的现状。</w:t>
            </w:r>
          </w:p>
          <w:p>
            <w:pPr>
              <w:numPr>
                <w:ilvl w:val="0"/>
                <w:numId w:val="0"/>
              </w:numPr>
              <w:spacing w:before="62" w:beforeLines="20" w:line="360" w:lineRule="auto"/>
              <w:ind w:firstLine="480" w:firstLineChars="200"/>
              <w:rPr>
                <w:rFonts w:hAnsi="宋体"/>
                <w:sz w:val="24"/>
              </w:rPr>
            </w:pPr>
            <w:r>
              <w:rPr>
                <w:rFonts w:hint="eastAsia" w:hAnsi="宋体"/>
                <w:sz w:val="24"/>
              </w:rPr>
              <w:t>（2）环境空气</w:t>
            </w:r>
          </w:p>
          <w:p>
            <w:pPr>
              <w:numPr>
                <w:ilvl w:val="0"/>
                <w:numId w:val="0"/>
              </w:numPr>
              <w:spacing w:before="62" w:beforeLines="20" w:line="360" w:lineRule="auto"/>
              <w:ind w:firstLine="480" w:firstLineChars="200"/>
              <w:rPr>
                <w:rFonts w:hAnsi="宋体"/>
                <w:sz w:val="24"/>
              </w:rPr>
            </w:pPr>
            <w:r>
              <w:rPr>
                <w:rFonts w:hint="eastAsia" w:hAnsi="宋体"/>
                <w:sz w:val="24"/>
              </w:rPr>
              <w:t>评价结果表明，各监测点位的各污染物的最大占标率均小于1，各污染物浓度值均符合《环境空气质量标准》（GB3095-2012）二级标准，由此可见，评价区域的环境空气质量良好。</w:t>
            </w:r>
          </w:p>
          <w:p>
            <w:pPr>
              <w:numPr>
                <w:ilvl w:val="0"/>
                <w:numId w:val="0"/>
              </w:numPr>
              <w:spacing w:before="62" w:beforeLines="20" w:line="360" w:lineRule="auto"/>
              <w:ind w:firstLine="480" w:firstLineChars="200"/>
              <w:rPr>
                <w:rFonts w:hAnsi="宋体"/>
                <w:sz w:val="24"/>
              </w:rPr>
            </w:pPr>
            <w:r>
              <w:rPr>
                <w:rFonts w:hint="eastAsia" w:hAnsi="宋体"/>
                <w:sz w:val="24"/>
              </w:rPr>
              <w:t>（3）声环境</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val="en-US" w:eastAsia="zh-CN"/>
              </w:rPr>
            </w:pPr>
            <w:r>
              <w:rPr>
                <w:rFonts w:hint="eastAsia" w:hAnsi="宋体"/>
                <w:sz w:val="24"/>
              </w:rPr>
              <w:t>评价区域内各监测点噪声均能够满足GB3096-2008《声环境质量标准》中2类区标准要求，说明该区域声环境质量较好。</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11.2.5污染物排放达标可行性</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（1）废水</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本项目废水主要为生活污水和锅炉排污水。生活污水排放至防渗旱厕，定期清掏，不外排；锅炉排污水为清净下水，洒入厂区做地面清洁用水，不外排。</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（2）废气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本项目运营后废气主要为燃生物质锅炉烟气、有机废气和木质粉尘。</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①燃生物质锅炉烟气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本项目燃生物质锅炉烟气经布袋除尘器处理后由引风机引至经锅炉房25m高烟囱排放，满足《锅炉大气污染物排放标准》（GB13271-2014）中表2新建锅炉大气污染物排放浓度限值要求。</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②有机废气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拟在产非甲烷总烃设备上设置集气罩，收集后通过位于车间西南侧15m高的1根排气筒高空排放，排放速率为0.00047kg/h，排放浓度为0.16mg/m3，满足GB16297-1996《大气污染物综合排放标准》中二级新污染源大气污染物排放限值。</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③木质粉尘</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本项目产生的木质粉尘拟采用</w:t>
            </w:r>
            <w:r>
              <w:rPr>
                <w:rFonts w:hint="default" w:ascii="Times New Roman" w:hAnsi="Times New Roman" w:cs="Times New Roman"/>
                <w:sz w:val="24"/>
                <w:szCs w:val="24"/>
                <w:lang w:eastAsia="zh-CN"/>
              </w:rPr>
              <w:t>中央集尘系统</w:t>
            </w:r>
            <w:r>
              <w:rPr>
                <w:rFonts w:hint="default" w:ascii="Times New Roman" w:hAnsi="Times New Roman" w:cs="Times New Roman"/>
                <w:sz w:val="24"/>
                <w:szCs w:val="24"/>
              </w:rPr>
              <w:t>进行处理，除尘系统对粉尘的捕集效率为90%，其余粉尘则以无组织形式排放。配置的布袋除尘器对捕集粉尘的去除率为99%，经除尘器处理后的木质粉尘直接通过位于车间西南侧15m高的1根排气筒高空排放，满足GB16297-1996《大气污染物综合排放标准》中二级新污染源大气污染物排放限值。</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（3）噪声</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主要噪声污染源为锅炉引风机及砂光机等设备运行时产生的噪音，企业选用低噪声设备，从源头上控制设备噪声的产生，其次在安装设备过程中，进行基础减振、安装隔振垫，风机加隔音罩等措施，并加强设备日常维护，再经过密闭厂房、距离衰减及绿化以后，使项目厂界噪声能够满足GB12348-2008《工业企业厂界环境噪声排放标准》中2类区的标准，对环境影响较小。</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（4）固体废物</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本项目产生的固体废物主要有生活垃圾、然生物质锅炉炉灰及配套的布袋除尘器除尘灰、废边角料、废包装袋、生产车间布袋除尘器收集到的木质粉尘及废胶桶。</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生活垃圾集中收集后交由环卫部门处理；燃生物质锅炉炉灰及配套的布袋除尘器除尘灰交由农户清运用作农家肥；废边角料卖给相关企业回收利用；废包装袋和生产车间布袋除尘器收集到的木质粉尘统一交由环卫部门处理；由于乳白胶不含有害物质，为环保型乳白胶。因此其废胶桶不属于危险废物。废胶桶由厂家回收。</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11.2.6投产后区域环境质量与环境功能相符性</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val="en-US" w:eastAsia="zh-CN"/>
              </w:rPr>
            </w:pPr>
            <w:r>
              <w:rPr>
                <w:rFonts w:hint="eastAsia" w:ascii="宋体" w:hAnsi="宋体" w:cs="宋体"/>
                <w:sz w:val="24"/>
                <w:szCs w:val="24"/>
              </w:rPr>
              <w:t>根据主管部门功能区划，该区域位于地表水</w:t>
            </w:r>
            <w:r>
              <w:rPr>
                <w:rFonts w:hint="eastAsia" w:ascii="宋体" w:hAnsi="宋体"/>
                <w:sz w:val="24"/>
              </w:rPr>
              <w:t>Ⅴ</w:t>
            </w:r>
            <w:r>
              <w:rPr>
                <w:rFonts w:hint="eastAsia" w:ascii="宋体" w:hAnsi="宋体" w:cs="宋体"/>
                <w:sz w:val="24"/>
                <w:szCs w:val="24"/>
              </w:rPr>
              <w:t>类区、大</w:t>
            </w:r>
            <w:r>
              <w:rPr>
                <w:rFonts w:hint="default" w:ascii="Times New Roman" w:hAnsi="Times New Roman" w:cs="Times New Roman"/>
                <w:sz w:val="24"/>
                <w:szCs w:val="24"/>
              </w:rPr>
              <w:t>气二类区、声环境</w:t>
            </w:r>
            <w:r>
              <w:rPr>
                <w:rFonts w:hint="eastAsia" w:cs="Times New Roman"/>
                <w:sz w:val="24"/>
                <w:szCs w:val="24"/>
                <w:lang w:val="en-US" w:eastAsia="zh-CN"/>
              </w:rPr>
              <w:t>2</w:t>
            </w:r>
            <w:r>
              <w:rPr>
                <w:rFonts w:hint="default" w:ascii="Times New Roman" w:hAnsi="Times New Roman" w:cs="Times New Roman"/>
                <w:sz w:val="24"/>
                <w:szCs w:val="24"/>
              </w:rPr>
              <w:t>类区，企业对产生的污染物采取了有效的治理措施，在日常营运过程中加强环保设施的维修与保养的前提下，满足区划要求。</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11.2.7环境信访结论</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通过对</w:t>
            </w:r>
            <w:r>
              <w:rPr>
                <w:rFonts w:hint="eastAsia" w:cs="Times New Roman"/>
                <w:b w:val="0"/>
                <w:bCs w:val="0"/>
                <w:color w:val="000000"/>
                <w:sz w:val="24"/>
                <w:lang w:eastAsia="zh-CN"/>
              </w:rPr>
              <w:t>周边企业的咨询</w:t>
            </w:r>
            <w:r>
              <w:rPr>
                <w:rFonts w:hint="default" w:ascii="Times New Roman" w:hAnsi="Times New Roman" w:cs="Times New Roman"/>
                <w:b w:val="0"/>
                <w:bCs w:val="0"/>
                <w:color w:val="000000"/>
                <w:sz w:val="24"/>
                <w:lang w:eastAsia="zh-CN"/>
              </w:rPr>
              <w:t>，企业在运营期间未发生环境</w:t>
            </w:r>
            <w:r>
              <w:rPr>
                <w:rFonts w:hint="eastAsia" w:cs="Times New Roman"/>
                <w:b w:val="0"/>
                <w:bCs w:val="0"/>
                <w:color w:val="000000"/>
                <w:sz w:val="24"/>
                <w:lang w:eastAsia="zh-CN"/>
              </w:rPr>
              <w:t>扰民</w:t>
            </w:r>
            <w:r>
              <w:rPr>
                <w:rFonts w:hint="default" w:ascii="Times New Roman" w:hAnsi="Times New Roman" w:cs="Times New Roman"/>
                <w:b w:val="0"/>
                <w:bCs w:val="0"/>
                <w:color w:val="000000"/>
                <w:sz w:val="24"/>
                <w:lang w:eastAsia="zh-CN"/>
              </w:rPr>
              <w:t>事件。</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11.3现状评价总结论及建议</w:t>
            </w:r>
          </w:p>
          <w:p>
            <w:pPr>
              <w:numPr>
                <w:ilvl w:val="0"/>
                <w:numId w:val="0"/>
              </w:numPr>
              <w:spacing w:before="62" w:beforeLines="20" w:line="360" w:lineRule="auto"/>
              <w:ind w:firstLine="480" w:firstLineChars="200"/>
              <w:rPr>
                <w:rFonts w:hint="eastAsia" w:ascii="宋体" w:hAnsi="宋体"/>
                <w:b/>
                <w:bCs/>
                <w:color w:val="000000"/>
                <w:sz w:val="24"/>
              </w:rPr>
            </w:pPr>
            <w:r>
              <w:rPr>
                <w:rFonts w:hint="default" w:ascii="Times New Roman" w:hAnsi="Times New Roman" w:cs="Times New Roman"/>
                <w:b w:val="0"/>
                <w:bCs w:val="0"/>
                <w:color w:val="000000"/>
                <w:sz w:val="24"/>
                <w:lang w:eastAsia="zh-CN"/>
              </w:rPr>
              <w:t>综上所述，本建设项目符合国家产业政策。本项目污染物排放量较小，污染较轻，地区大气、地表水、声环境质量较好，具有一定的环境容量。在认真落实本报告提出的各项污染防治措施和整改建议后，其主要污染物排放符合国家及地方有关标准和总量控制要求，符合清洁生产要求，对环境影响不大。从环保角度考虑，企业正产生产的情况下对周边环境影响是可以接受的。</w:t>
            </w: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pStyle w:val="2"/>
              <w:rPr>
                <w:rFonts w:hint="eastAsia"/>
              </w:rPr>
            </w:pPr>
          </w:p>
          <w:p>
            <w:pPr>
              <w:spacing w:before="62" w:beforeLines="20" w:line="360" w:lineRule="auto"/>
              <w:rPr>
                <w:rFonts w:hint="eastAsia" w:ascii="宋体" w:hAnsi="宋体"/>
                <w:b/>
                <w:bCs/>
                <w:color w:val="000000"/>
                <w:sz w:val="24"/>
              </w:rPr>
            </w:pPr>
          </w:p>
          <w:p>
            <w:pPr>
              <w:spacing w:before="62" w:beforeLines="20" w:line="360" w:lineRule="auto"/>
              <w:rPr>
                <w:rFonts w:ascii="宋体" w:hAnsi="宋体"/>
                <w:b/>
                <w:bCs/>
                <w:color w:val="000000"/>
                <w:sz w:val="24"/>
              </w:rPr>
            </w:pPr>
            <w:r>
              <w:rPr>
                <w:rFonts w:hint="eastAsia" w:ascii="宋体" w:hAnsi="宋体"/>
                <w:b/>
                <w:bCs/>
                <w:color w:val="000000"/>
                <w:sz w:val="24"/>
              </w:rPr>
              <w:t>审批部门审批决定及落实情况</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德惠市万宝镇超达傢木门加工厂：</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你厂委托吉林省广信工程技术咨询有公司编制的《德惠市万宝镇超达傢木门加工厂年产免漆强化木门4000套项目环境影响报告表》(报批版)收悉。根据环境影响评价结论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经研究</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现批复如下：</w:t>
            </w:r>
          </w:p>
          <w:p>
            <w:pPr>
              <w:spacing w:line="360" w:lineRule="auto"/>
              <w:ind w:firstLine="480" w:firstLineChars="200"/>
              <w:rPr>
                <w:rFonts w:hint="default" w:ascii="Times New Roman" w:hAnsi="Times New Roman" w:cs="Times New Roman"/>
                <w:color w:val="auto"/>
                <w:sz w:val="24"/>
                <w:lang w:eastAsia="zh-CN"/>
              </w:rPr>
            </w:pPr>
            <w:r>
              <w:rPr>
                <w:rFonts w:hint="eastAsia" w:ascii="Times New Roman" w:hAnsi="Times New Roman" w:eastAsia="宋体" w:cs="Times New Roman"/>
                <w:color w:val="auto"/>
                <w:sz w:val="24"/>
                <w:lang w:eastAsia="zh-CN"/>
              </w:rPr>
              <w:t>一、</w:t>
            </w:r>
            <w:r>
              <w:rPr>
                <w:rFonts w:hint="default" w:ascii="Times New Roman" w:hAnsi="Times New Roman" w:eastAsia="宋体" w:cs="Times New Roman"/>
                <w:color w:val="auto"/>
                <w:sz w:val="24"/>
                <w:lang w:eastAsia="zh-CN"/>
              </w:rPr>
              <w:t>本项目地点位于德惠市</w:t>
            </w:r>
            <w:r>
              <w:rPr>
                <w:rFonts w:hint="eastAsia" w:ascii="Times New Roman" w:hAnsi="Times New Roman" w:eastAsia="宋体" w:cs="Times New Roman"/>
                <w:color w:val="auto"/>
                <w:sz w:val="24"/>
                <w:lang w:eastAsia="zh-CN"/>
              </w:rPr>
              <w:t>万宝镇</w:t>
            </w:r>
            <w:r>
              <w:rPr>
                <w:rFonts w:hint="default" w:ascii="Times New Roman" w:hAnsi="Times New Roman" w:eastAsia="宋体" w:cs="Times New Roman"/>
                <w:color w:val="auto"/>
                <w:sz w:val="24"/>
                <w:lang w:eastAsia="zh-CN"/>
              </w:rPr>
              <w:t>大王家村十社。项目占地面积为4000</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建筑面积</w:t>
            </w:r>
            <w:r>
              <w:rPr>
                <w:rFonts w:hint="eastAsia" w:cs="Times New Roman"/>
                <w:color w:val="auto"/>
                <w:sz w:val="24"/>
                <w:lang w:val="en-US" w:eastAsia="zh-CN"/>
              </w:rPr>
              <w:t>2080</w:t>
            </w:r>
            <w:r>
              <w:rPr>
                <w:rFonts w:hint="default" w:ascii="Times New Roman" w:hAnsi="Times New Roman" w:eastAsia="宋体" w:cs="Times New Roman"/>
                <w:color w:val="auto"/>
                <w:sz w:val="24"/>
                <w:lang w:eastAsia="zh-CN"/>
              </w:rPr>
              <w:t>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，其中生产车间</w:t>
            </w:r>
            <w:r>
              <w:rPr>
                <w:rFonts w:hint="eastAsia" w:cs="Times New Roman"/>
                <w:color w:val="auto"/>
                <w:sz w:val="24"/>
                <w:lang w:val="en-US" w:eastAsia="zh-CN"/>
              </w:rPr>
              <w:t>100</w:t>
            </w:r>
            <w:r>
              <w:rPr>
                <w:rFonts w:hint="default" w:ascii="Times New Roman" w:hAnsi="Times New Roman" w:eastAsia="宋体" w:cs="Times New Roman"/>
                <w:color w:val="auto"/>
                <w:sz w:val="24"/>
                <w:lang w:eastAsia="zh-CN"/>
              </w:rPr>
              <w:t>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，仓库1000m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，办公室80m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。配置</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t/h燃生物质锅炉，为办公室供和生产提供热源。本项日成后年产免漆</w:t>
            </w:r>
            <w:r>
              <w:rPr>
                <w:rFonts w:hint="eastAsia" w:ascii="Times New Roman" w:hAnsi="Times New Roman" w:eastAsia="宋体" w:cs="Times New Roman"/>
                <w:color w:val="auto"/>
                <w:sz w:val="24"/>
                <w:lang w:eastAsia="zh-CN"/>
              </w:rPr>
              <w:t>强</w:t>
            </w:r>
            <w:r>
              <w:rPr>
                <w:rFonts w:hint="default" w:ascii="Times New Roman" w:hAnsi="Times New Roman" w:eastAsia="宋体" w:cs="Times New Roman"/>
                <w:color w:val="auto"/>
                <w:sz w:val="24"/>
                <w:lang w:eastAsia="zh-CN"/>
              </w:rPr>
              <w:t>化木门4000套。项总投资100万元，其中环保资13万元，我局</w:t>
            </w:r>
            <w:r>
              <w:rPr>
                <w:rFonts w:hint="eastAsia" w:ascii="Times New Roman" w:hAnsi="Times New Roman" w:eastAsia="宋体" w:cs="Times New Roman"/>
                <w:color w:val="auto"/>
                <w:sz w:val="24"/>
                <w:lang w:eastAsia="zh-CN"/>
              </w:rPr>
              <w:t>同意</w:t>
            </w:r>
            <w:r>
              <w:rPr>
                <w:rFonts w:hint="default" w:ascii="Times New Roman" w:hAnsi="Times New Roman" w:eastAsia="宋体" w:cs="Times New Roman"/>
                <w:color w:val="auto"/>
                <w:sz w:val="24"/>
                <w:lang w:eastAsia="zh-CN"/>
              </w:rPr>
              <w:t>按照报告表所列项目性质、规模、地点及环境保护对策进行建设。</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三、落实报告表提出的各项环境保护措施,特别要着重做好以下环境保护工作:</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(一)施工期:加强施工期管理，确保噪声、扬尘、固体废物等不会污染周边</w:t>
            </w:r>
            <w:r>
              <w:rPr>
                <w:rFonts w:hint="eastAsia" w:cs="Times New Roman"/>
                <w:color w:val="auto"/>
                <w:sz w:val="24"/>
                <w:lang w:eastAsia="zh-CN"/>
              </w:rPr>
              <w:t>环境</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(二)运营期:1、废水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生活污水排入</w:t>
            </w:r>
            <w:r>
              <w:rPr>
                <w:rFonts w:hint="eastAsia" w:cs="Times New Roman"/>
                <w:color w:val="auto"/>
                <w:sz w:val="24"/>
                <w:lang w:eastAsia="zh-CN"/>
              </w:rPr>
              <w:t>防渗旱厕</w:t>
            </w:r>
            <w:r>
              <w:rPr>
                <w:rFonts w:hint="default" w:ascii="Times New Roman" w:hAnsi="Times New Roman" w:cs="Times New Roman"/>
                <w:color w:val="auto"/>
                <w:sz w:val="24"/>
                <w:lang w:eastAsia="zh-CN"/>
              </w:rPr>
              <w:t>，定期清掏</w:t>
            </w:r>
            <w:r>
              <w:rPr>
                <w:rFonts w:hint="eastAsia" w:cs="Times New Roman"/>
                <w:color w:val="auto"/>
                <w:sz w:val="24"/>
                <w:lang w:eastAsia="zh-CN"/>
              </w:rPr>
              <w:t>，用作农</w:t>
            </w:r>
            <w:r>
              <w:rPr>
                <w:rFonts w:hint="default" w:ascii="Times New Roman" w:hAnsi="Times New Roman" w:cs="Times New Roman"/>
                <w:color w:val="auto"/>
                <w:sz w:val="24"/>
                <w:lang w:eastAsia="zh-CN"/>
              </w:rPr>
              <w:t>肥，不外排。锅炉排污水酒入厂区降尘，不外排。</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2、废气</w:t>
            </w:r>
            <w:r>
              <w:rPr>
                <w:rFonts w:hint="eastAsia" w:cs="Times New Roman"/>
                <w:color w:val="auto"/>
                <w:sz w:val="24"/>
                <w:lang w:eastAsia="zh-CN"/>
              </w:rPr>
              <w:t>：（</w:t>
            </w:r>
            <w:r>
              <w:rPr>
                <w:rFonts w:hint="eastAsia" w:cs="Times New Roman"/>
                <w:color w:val="auto"/>
                <w:sz w:val="24"/>
                <w:lang w:val="en-US" w:eastAsia="zh-CN"/>
              </w:rPr>
              <w:t>1）</w:t>
            </w:r>
            <w:r>
              <w:rPr>
                <w:rFonts w:hint="default" w:ascii="Times New Roman" w:hAnsi="Times New Roman" w:cs="Times New Roman"/>
                <w:color w:val="auto"/>
                <w:sz w:val="24"/>
                <w:lang w:eastAsia="zh-CN"/>
              </w:rPr>
              <w:t>有机废气</w:t>
            </w:r>
            <w:r>
              <w:rPr>
                <w:rFonts w:hint="eastAsia" w:cs="Times New Roman"/>
                <w:color w:val="auto"/>
                <w:sz w:val="24"/>
                <w:lang w:eastAsia="zh-CN"/>
              </w:rPr>
              <w:t>：</w:t>
            </w:r>
            <w:r>
              <w:rPr>
                <w:rFonts w:hint="default" w:ascii="Times New Roman" w:hAnsi="Times New Roman" w:cs="Times New Roman"/>
                <w:color w:val="auto"/>
                <w:sz w:val="24"/>
                <w:lang w:eastAsia="zh-CN"/>
              </w:rPr>
              <w:t>涂胶工艺、热压车间及封边排放的</w:t>
            </w:r>
            <w:r>
              <w:rPr>
                <w:rFonts w:hint="eastAsia" w:cs="Times New Roman"/>
                <w:color w:val="auto"/>
                <w:sz w:val="24"/>
                <w:lang w:eastAsia="zh-CN"/>
              </w:rPr>
              <w:t>甲醛</w:t>
            </w:r>
            <w:r>
              <w:rPr>
                <w:rFonts w:hint="default" w:ascii="Times New Roman" w:hAnsi="Times New Roman" w:cs="Times New Roman"/>
                <w:color w:val="auto"/>
                <w:sz w:val="24"/>
                <w:lang w:eastAsia="zh-CN"/>
              </w:rPr>
              <w:t>废气经排风口收集后经15m高</w:t>
            </w:r>
            <w:r>
              <w:rPr>
                <w:rFonts w:hint="eastAsia" w:cs="Times New Roman"/>
                <w:color w:val="auto"/>
                <w:sz w:val="24"/>
                <w:lang w:eastAsia="zh-CN"/>
              </w:rPr>
              <w:t>排气筒</w:t>
            </w:r>
            <w:r>
              <w:rPr>
                <w:rFonts w:hint="default" w:ascii="Times New Roman" w:hAnsi="Times New Roman" w:cs="Times New Roman"/>
                <w:color w:val="auto"/>
                <w:sz w:val="24"/>
                <w:lang w:eastAsia="zh-CN"/>
              </w:rPr>
              <w:t>排放。确保排放</w:t>
            </w:r>
            <w:r>
              <w:rPr>
                <w:rFonts w:hint="eastAsia" w:cs="Times New Roman"/>
                <w:color w:val="auto"/>
                <w:sz w:val="24"/>
                <w:lang w:eastAsia="zh-CN"/>
              </w:rPr>
              <w:t>浓度</w:t>
            </w:r>
            <w:r>
              <w:rPr>
                <w:rFonts w:hint="default" w:ascii="Times New Roman" w:hAnsi="Times New Roman" w:cs="Times New Roman"/>
                <w:color w:val="auto"/>
                <w:sz w:val="24"/>
                <w:lang w:eastAsia="zh-CN"/>
              </w:rPr>
              <w:t>及排放速率满足GB16297-1996《大气污染物综合排放标准》新染源大气污染物排放限值要求。(2)项目新建一台1t/h燃生物质锅炉。锅炉烟气经布袋除尘器处理后由15m高</w:t>
            </w:r>
            <w:r>
              <w:rPr>
                <w:rFonts w:hint="eastAsia" w:cs="Times New Roman"/>
                <w:color w:val="auto"/>
                <w:sz w:val="24"/>
                <w:lang w:eastAsia="zh-CN"/>
              </w:rPr>
              <w:t>烟囱</w:t>
            </w:r>
            <w:r>
              <w:rPr>
                <w:rFonts w:hint="default" w:ascii="Times New Roman" w:hAnsi="Times New Roman" w:cs="Times New Roman"/>
                <w:color w:val="auto"/>
                <w:sz w:val="24"/>
                <w:lang w:eastAsia="zh-CN"/>
              </w:rPr>
              <w:t>排放，确保排放浓度均能够满足(锅炉大气污染物排放标准》(GB13271-2014)中表2新建锅炉大气污染物排放浓度限值，(3)粉尘:由布袋除尘器处理后经15m高排气排放，确保满足B16297-1996《大气染物综合排放标准》排放限值要求。</w:t>
            </w:r>
          </w:p>
          <w:p>
            <w:pPr>
              <w:numPr>
                <w:ilvl w:val="0"/>
                <w:numId w:val="0"/>
              </w:num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噪声</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优选低噪声设备,采取隔音门窗、减震垫等有效降噪措施降噪,厂界噪满足 GB12348-2008《工业企业厂界环境噪声排放标准》</w:t>
            </w:r>
            <w:r>
              <w:rPr>
                <w:rFonts w:hint="eastAsia" w:cs="Times New Roman"/>
                <w:color w:val="auto"/>
                <w:sz w:val="24"/>
                <w:lang w:val="en-US" w:eastAsia="zh-CN"/>
              </w:rPr>
              <w:t>2</w:t>
            </w:r>
            <w:r>
              <w:rPr>
                <w:rFonts w:hint="default" w:ascii="Times New Roman" w:hAnsi="Times New Roman" w:cs="Times New Roman"/>
                <w:color w:val="auto"/>
                <w:sz w:val="24"/>
                <w:lang w:eastAsia="zh-CN"/>
              </w:rPr>
              <w:t>类标准要求。</w:t>
            </w:r>
          </w:p>
          <w:p>
            <w:pPr>
              <w:numPr>
                <w:ilvl w:val="0"/>
                <w:numId w:val="3"/>
              </w:numPr>
              <w:spacing w:line="360" w:lineRule="auto"/>
              <w:ind w:left="0" w:leftChars="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固体度物</w:t>
            </w:r>
            <w:r>
              <w:rPr>
                <w:rFonts w:hint="eastAsia" w:cs="Times New Roman"/>
                <w:color w:val="auto"/>
                <w:sz w:val="24"/>
                <w:lang w:eastAsia="zh-CN"/>
              </w:rPr>
              <w:t>：</w:t>
            </w:r>
            <w:r>
              <w:rPr>
                <w:rFonts w:hint="default" w:ascii="Times New Roman" w:hAnsi="Times New Roman" w:cs="Times New Roman"/>
                <w:color w:val="auto"/>
                <w:sz w:val="24"/>
                <w:lang w:eastAsia="zh-CN"/>
              </w:rPr>
              <w:t>生活垃圾集中收集，由环卫部门定期处理</w:t>
            </w:r>
            <w:r>
              <w:rPr>
                <w:rFonts w:hint="eastAsia" w:cs="Times New Roman"/>
                <w:color w:val="auto"/>
                <w:sz w:val="24"/>
                <w:lang w:eastAsia="zh-CN"/>
              </w:rPr>
              <w:t>；</w:t>
            </w:r>
            <w:r>
              <w:rPr>
                <w:rFonts w:hint="default" w:ascii="Times New Roman" w:hAnsi="Times New Roman" w:cs="Times New Roman"/>
                <w:color w:val="auto"/>
                <w:sz w:val="24"/>
                <w:lang w:eastAsia="zh-CN"/>
              </w:rPr>
              <w:t>布袋除尘器收集的粉尘和炉灰集中集后外售用作农肥</w:t>
            </w:r>
            <w:r>
              <w:rPr>
                <w:rFonts w:hint="eastAsia" w:cs="Times New Roman"/>
                <w:color w:val="auto"/>
                <w:sz w:val="24"/>
                <w:lang w:eastAsia="zh-CN"/>
              </w:rPr>
              <w:t>；</w:t>
            </w:r>
            <w:r>
              <w:rPr>
                <w:rFonts w:hint="default" w:ascii="Times New Roman" w:hAnsi="Times New Roman" w:cs="Times New Roman"/>
                <w:color w:val="auto"/>
                <w:sz w:val="24"/>
                <w:lang w:eastAsia="zh-CN"/>
              </w:rPr>
              <w:t>危险废物</w:t>
            </w:r>
            <w:r>
              <w:rPr>
                <w:rFonts w:hint="eastAsia" w:cs="Times New Roman"/>
                <w:color w:val="auto"/>
                <w:sz w:val="24"/>
                <w:lang w:eastAsia="zh-CN"/>
              </w:rPr>
              <w:t>贮存</w:t>
            </w:r>
            <w:r>
              <w:rPr>
                <w:rFonts w:hint="default" w:ascii="Times New Roman" w:hAnsi="Times New Roman" w:cs="Times New Roman"/>
                <w:color w:val="auto"/>
                <w:sz w:val="24"/>
                <w:lang w:eastAsia="zh-CN"/>
              </w:rPr>
              <w:t>应符合《危险废物</w:t>
            </w:r>
            <w:r>
              <w:rPr>
                <w:rFonts w:hint="eastAsia" w:cs="Times New Roman"/>
                <w:color w:val="auto"/>
                <w:sz w:val="24"/>
                <w:lang w:eastAsia="zh-CN"/>
              </w:rPr>
              <w:t>贮存</w:t>
            </w:r>
            <w:r>
              <w:rPr>
                <w:rFonts w:hint="default" w:ascii="Times New Roman" w:hAnsi="Times New Roman" w:cs="Times New Roman"/>
                <w:color w:val="auto"/>
                <w:sz w:val="24"/>
                <w:lang w:eastAsia="zh-CN"/>
              </w:rPr>
              <w:t>污染控制标准》(GB18597-2001)中相关要求，由</w:t>
            </w:r>
            <w:r>
              <w:rPr>
                <w:rFonts w:hint="eastAsia" w:cs="Times New Roman"/>
                <w:color w:val="auto"/>
                <w:sz w:val="24"/>
                <w:lang w:eastAsia="zh-CN"/>
              </w:rPr>
              <w:t>有资质单位</w:t>
            </w:r>
            <w:r>
              <w:rPr>
                <w:rFonts w:hint="default" w:ascii="Times New Roman" w:hAnsi="Times New Roman" w:cs="Times New Roman"/>
                <w:color w:val="auto"/>
                <w:sz w:val="24"/>
                <w:lang w:eastAsia="zh-CN"/>
              </w:rPr>
              <w:t>处理。</w:t>
            </w:r>
          </w:p>
          <w:p>
            <w:pPr>
              <w:numPr>
                <w:ilvl w:val="0"/>
                <w:numId w:val="0"/>
              </w:numPr>
              <w:spacing w:line="360" w:lineRule="auto"/>
              <w:ind w:left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5、制定环境风险防范措施</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完善消防系统</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定期进行应急演练。</w:t>
            </w:r>
          </w:p>
          <w:p>
            <w:pPr>
              <w:pStyle w:val="3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四、要认真执行“三同时”制度,项目建成后,按规定程序办理环保验收</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验收合格后方可正式投入运行。</w:t>
            </w:r>
          </w:p>
          <w:p>
            <w:pPr>
              <w:pStyle w:val="3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五、请德惠市环境监察大队做好该项目的环境保护日常监管工作。</w:t>
            </w:r>
          </w:p>
          <w:p>
            <w:pPr>
              <w:numPr>
                <w:ilvl w:val="0"/>
                <w:numId w:val="0"/>
              </w:numPr>
              <w:spacing w:before="62" w:beforeLines="20" w:line="360" w:lineRule="auto"/>
              <w:ind w:firstLine="480" w:firstLineChars="200"/>
              <w:jc w:val="righ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长春市生态环境局德惠市分局</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eastAsia="zh-CN"/>
              </w:rPr>
              <w:t>德环审字【</w:t>
            </w:r>
            <w:r>
              <w:rPr>
                <w:rFonts w:hint="default" w:ascii="Times New Roman" w:hAnsi="Times New Roman" w:cs="Times New Roman"/>
                <w:color w:val="auto"/>
                <w:sz w:val="24"/>
                <w:lang w:val="en-US" w:eastAsia="zh-CN"/>
              </w:rPr>
              <w:t>201</w:t>
            </w:r>
            <w:r>
              <w:rPr>
                <w:rFonts w:hint="eastAsia" w:cs="Times New Roman"/>
                <w:color w:val="auto"/>
                <w:sz w:val="24"/>
                <w:lang w:val="en-US" w:eastAsia="zh-CN"/>
              </w:rPr>
              <w:t>8</w:t>
            </w:r>
            <w:r>
              <w:rPr>
                <w:rFonts w:hint="default" w:ascii="Times New Roman" w:hAnsi="Times New Roman" w:cs="Times New Roman"/>
                <w:color w:val="auto"/>
                <w:sz w:val="24"/>
                <w:lang w:eastAsia="zh-CN"/>
              </w:rPr>
              <w:t>】</w:t>
            </w:r>
            <w:r>
              <w:rPr>
                <w:rFonts w:hint="eastAsia" w:cs="Times New Roman"/>
                <w:color w:val="auto"/>
                <w:sz w:val="24"/>
                <w:lang w:val="en-US" w:eastAsia="zh-CN"/>
              </w:rPr>
              <w:t>76</w:t>
            </w:r>
            <w:r>
              <w:rPr>
                <w:rFonts w:hint="default" w:ascii="Times New Roman" w:hAnsi="Times New Roman" w:cs="Times New Roman"/>
                <w:color w:val="auto"/>
                <w:sz w:val="24"/>
                <w:lang w:val="en-US" w:eastAsia="zh-CN"/>
              </w:rPr>
              <w:t>号</w:t>
            </w:r>
          </w:p>
          <w:p>
            <w:pPr>
              <w:numPr>
                <w:ilvl w:val="0"/>
                <w:numId w:val="0"/>
              </w:numPr>
              <w:spacing w:before="62" w:beforeLines="20" w:line="360" w:lineRule="auto"/>
              <w:ind w:firstLine="480" w:firstLineChars="20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eastAsia="zh-CN"/>
              </w:rPr>
              <w:t>二〇一</w:t>
            </w:r>
            <w:r>
              <w:rPr>
                <w:rFonts w:hint="eastAsia" w:cs="Times New Roman"/>
                <w:color w:val="auto"/>
                <w:sz w:val="24"/>
                <w:lang w:eastAsia="zh-CN"/>
              </w:rPr>
              <w:t>八</w:t>
            </w:r>
            <w:r>
              <w:rPr>
                <w:rFonts w:hint="default" w:ascii="Times New Roman" w:hAnsi="Times New Roman" w:cs="Times New Roman"/>
                <w:color w:val="auto"/>
                <w:sz w:val="24"/>
                <w:lang w:eastAsia="zh-CN"/>
              </w:rPr>
              <w:t>年</w:t>
            </w:r>
            <w:r>
              <w:rPr>
                <w:rFonts w:hint="eastAsia" w:cs="Times New Roman"/>
                <w:color w:val="auto"/>
                <w:sz w:val="24"/>
                <w:lang w:eastAsia="zh-CN"/>
              </w:rPr>
              <w:t>十一</w:t>
            </w:r>
            <w:r>
              <w:rPr>
                <w:rFonts w:hint="default" w:ascii="Times New Roman" w:hAnsi="Times New Roman" w:cs="Times New Roman"/>
                <w:color w:val="auto"/>
                <w:sz w:val="24"/>
                <w:lang w:eastAsia="zh-CN"/>
              </w:rPr>
              <w:t>月</w:t>
            </w:r>
            <w:r>
              <w:rPr>
                <w:rFonts w:hint="eastAsia" w:cs="Times New Roman"/>
                <w:color w:val="auto"/>
                <w:sz w:val="24"/>
                <w:lang w:eastAsia="zh-CN"/>
              </w:rPr>
              <w:t>十九</w:t>
            </w:r>
            <w:r>
              <w:rPr>
                <w:rFonts w:hint="default" w:ascii="Times New Roman" w:hAnsi="Times New Roman" w:cs="Times New Roman"/>
                <w:color w:val="auto"/>
                <w:sz w:val="24"/>
                <w:lang w:eastAsia="zh-CN"/>
              </w:rPr>
              <w:t>日</w:t>
            </w: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spacing w:before="62" w:beforeLines="20" w:line="360" w:lineRule="auto"/>
              <w:ind w:firstLine="480" w:firstLineChars="200"/>
              <w:rPr>
                <w:rFonts w:hint="eastAsia" w:ascii="宋体" w:hAnsi="宋体" w:eastAsia="宋体"/>
                <w:color w:val="auto"/>
                <w:sz w:val="24"/>
                <w:lang w:eastAsia="zh-CN"/>
              </w:rPr>
            </w:pPr>
            <w:r>
              <w:rPr>
                <w:rFonts w:hint="eastAsia" w:ascii="宋体" w:hAnsi="宋体"/>
                <w:color w:val="auto"/>
                <w:sz w:val="24"/>
                <w:lang w:eastAsia="zh-CN"/>
              </w:rPr>
              <w:t>落实情况见下表：</w:t>
            </w:r>
          </w:p>
          <w:tbl>
            <w:tblPr>
              <w:tblStyle w:val="26"/>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5052"/>
              <w:gridCol w:w="2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关于</w:t>
                  </w:r>
                  <w:r>
                    <w:rPr>
                      <w:rFonts w:hint="eastAsia" w:cs="Times New Roman"/>
                      <w:bCs/>
                      <w:lang w:bidi="ar"/>
                    </w:rPr>
                    <w:t>德惠市万宝镇超达傢木门加工厂</w:t>
                  </w:r>
                  <w:r>
                    <w:rPr>
                      <w:rFonts w:hint="default" w:ascii="Times New Roman" w:hAnsi="Times New Roman" w:eastAsia="宋体" w:cs="Times New Roman"/>
                      <w:color w:val="auto"/>
                      <w:sz w:val="21"/>
                      <w:szCs w:val="21"/>
                      <w:lang w:eastAsia="zh-CN"/>
                    </w:rPr>
                    <w:t>年产免漆强化木门4000套项目环境影响报告表的批复</w:t>
                  </w:r>
                  <w:r>
                    <w:rPr>
                      <w:rFonts w:hint="default" w:ascii="Times New Roman" w:hAnsi="Times New Roman" w:eastAsia="宋体" w:cs="Times New Roman"/>
                      <w:color w:val="auto"/>
                      <w:sz w:val="21"/>
                      <w:szCs w:val="21"/>
                    </w:rPr>
                    <w:t>》（20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19</w:t>
                  </w:r>
                  <w:r>
                    <w:rPr>
                      <w:rFonts w:hint="default" w:ascii="Times New Roman" w:hAnsi="Times New Roman" w:eastAsia="宋体" w:cs="Times New Roman"/>
                      <w:color w:val="auto"/>
                      <w:sz w:val="21"/>
                      <w:szCs w:val="21"/>
                    </w:rPr>
                    <w:t>日）</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52" w:type="dxa"/>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本项目地点位于德惠市</w:t>
                  </w:r>
                  <w:r>
                    <w:rPr>
                      <w:rFonts w:hint="eastAsia" w:ascii="Times New Roman" w:hAnsi="Times New Roman" w:eastAsia="宋体" w:cs="Times New Roman"/>
                      <w:color w:val="auto"/>
                      <w:sz w:val="21"/>
                      <w:szCs w:val="21"/>
                      <w:lang w:eastAsia="zh-CN"/>
                    </w:rPr>
                    <w:t>万宝镇</w:t>
                  </w:r>
                  <w:r>
                    <w:rPr>
                      <w:rFonts w:hint="default" w:ascii="Times New Roman" w:hAnsi="Times New Roman" w:eastAsia="宋体" w:cs="Times New Roman"/>
                      <w:color w:val="auto"/>
                      <w:sz w:val="21"/>
                      <w:szCs w:val="21"/>
                      <w:lang w:eastAsia="zh-CN"/>
                    </w:rPr>
                    <w:t>大王家村十社。项目占地面积为4000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建筑面积</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eastAsia="zh-CN"/>
                    </w:rPr>
                    <w:t>0</w:t>
                  </w: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，其中生产车间</w:t>
                  </w:r>
                  <w:r>
                    <w:rPr>
                      <w:rFonts w:hint="eastAsia" w:cs="Times New Roman"/>
                      <w:color w:val="auto"/>
                      <w:sz w:val="21"/>
                      <w:szCs w:val="21"/>
                      <w:lang w:val="en-US" w:eastAsia="zh-CN"/>
                    </w:rPr>
                    <w:t>1000</w:t>
                  </w:r>
                  <w:r>
                    <w:rPr>
                      <w:rFonts w:hint="default"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，仓库1000m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，办公室80m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。配置</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t/h燃生物质锅炉，为办公室供和生产提供热源。本项日成后年产免漆</w:t>
                  </w:r>
                  <w:r>
                    <w:rPr>
                      <w:rFonts w:hint="eastAsia" w:ascii="Times New Roman" w:hAnsi="Times New Roman" w:eastAsia="宋体" w:cs="Times New Roman"/>
                      <w:color w:val="auto"/>
                      <w:sz w:val="21"/>
                      <w:szCs w:val="21"/>
                      <w:lang w:eastAsia="zh-CN"/>
                    </w:rPr>
                    <w:t>强</w:t>
                  </w:r>
                  <w:r>
                    <w:rPr>
                      <w:rFonts w:hint="default" w:ascii="Times New Roman" w:hAnsi="Times New Roman" w:eastAsia="宋体" w:cs="Times New Roman"/>
                      <w:color w:val="auto"/>
                      <w:sz w:val="21"/>
                      <w:szCs w:val="21"/>
                      <w:lang w:eastAsia="zh-CN"/>
                    </w:rPr>
                    <w:t>化木门4000套。项总投资100万元，其中环保资13万元</w:t>
                  </w:r>
                  <w:r>
                    <w:rPr>
                      <w:rFonts w:hint="eastAsia" w:ascii="Times New Roman" w:hAnsi="Times New Roman" w:eastAsia="宋体" w:cs="Times New Roman"/>
                      <w:color w:val="auto"/>
                      <w:sz w:val="21"/>
                      <w:szCs w:val="21"/>
                      <w:lang w:eastAsia="zh-CN"/>
                    </w:rPr>
                    <w:t>。</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已落实。项目建设地点及规模、环保设施等基本与环评报告及批复一致。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废水：生活污水排入防渗旱厕，定期清掏，用作农肥，不外排。锅炉排污水酒入厂区降尘，不外排。</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本项目排放废水污染因子浓度较低，全部排入企业自建防渗旱厕，定期清掏。锅炉已经取缔，无废水产生。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1）有机废气：涂胶工艺、热压车间及封边排放的甲醛废气经排风口收集后经15m高排气筒排放。确保排放浓度及排放速率满足GB16297-1996《大气污染物综合排放标准》新染源大气污染物排放限值要求。(2)项目新建一台1t/h燃生物质锅炉。锅炉烟气经布袋除尘器处理后由15m高烟囱排放，确保排放浓度均能够满足(锅炉大气污染物排放标准》(GB13271-2014)中表2新建锅炉大气污染物排放浓度限值，(3)粉尘:由布袋除尘器处理后经15m高排气排放，确保满足B16297-1996《大气染物综合排放标准》排放限值要求。</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w:t>
                  </w:r>
                  <w:r>
                    <w:rPr>
                      <w:rFonts w:hint="eastAsia" w:ascii="宋体" w:hAnsi="宋体" w:eastAsia="宋体" w:cs="宋体"/>
                      <w:color w:val="auto"/>
                      <w:sz w:val="21"/>
                      <w:szCs w:val="21"/>
                      <w:lang w:val="en-US" w:eastAsia="zh-CN"/>
                    </w:rPr>
                    <w:t>车间对设备配备了单机滤袋除尘器和侧吸滤筒除尘器，厂界处颗粒物能够达标排放</w:t>
                  </w:r>
                  <w:r>
                    <w:rPr>
                      <w:rFonts w:hint="eastAsia" w:ascii="宋体" w:hAnsi="宋体" w:cs="宋体"/>
                      <w:color w:val="auto"/>
                      <w:sz w:val="21"/>
                      <w:szCs w:val="21"/>
                      <w:lang w:val="en-US" w:eastAsia="zh-CN"/>
                    </w:rPr>
                    <w:t>；涂胶废气经集气罩收集，经15米高排气筒排放，可以满足环境及批复的要求；生物质锅炉已经取缔，不再产生锅炉烟气。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选用低噪音设备，并采取隔声、降噪、减振等措施，确保厂界噪声排放符合GB12348-2008《工业企业厂界环境噪声排放标准》中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类区标准</w:t>
                  </w:r>
                  <w:r>
                    <w:rPr>
                      <w:rFonts w:hint="eastAsia" w:cs="Times New Roman"/>
                      <w:color w:val="auto"/>
                      <w:sz w:val="21"/>
                      <w:szCs w:val="21"/>
                      <w:lang w:val="en-US" w:eastAsia="zh-CN"/>
                    </w:rPr>
                    <w:t>。</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已落实。</w:t>
                  </w:r>
                  <w:r>
                    <w:rPr>
                      <w:rFonts w:hint="default" w:ascii="Times New Roman" w:hAnsi="Times New Roman" w:cs="Times New Roman"/>
                      <w:color w:val="auto"/>
                      <w:sz w:val="21"/>
                      <w:szCs w:val="21"/>
                      <w:lang w:val="en-US" w:eastAsia="zh-CN"/>
                    </w:rPr>
                    <w:t>厂界处噪声能够达标排放。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固体度物：生活垃圾集中收集，由环卫部门定期处理；布袋除尘器收集的粉尘和炉灰集中集后外售用作农肥；危险废物贮存应符合《危险废物贮存污染控制标准》(GB18597-2001)中相关要求，由有资质单位处理。</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已落实。</w:t>
                  </w:r>
                  <w:r>
                    <w:rPr>
                      <w:rFonts w:hint="default" w:ascii="Times New Roman" w:hAnsi="Times New Roman" w:cs="Times New Roman"/>
                      <w:color w:val="auto"/>
                      <w:sz w:val="21"/>
                      <w:szCs w:val="21"/>
                      <w:lang w:val="en-US" w:eastAsia="zh-CN"/>
                    </w:rPr>
                    <w:t>各项固体废物得到了妥善处理，没有产生二次污染。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制定环境风险防范措施，完善消防系统，定期进行应急演练。</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已落实。企业已经编制了完善可行的环境风险应急预案，并定期组织消防演练。</w:t>
                  </w:r>
                </w:p>
              </w:tc>
            </w:tr>
          </w:tbl>
          <w:p>
            <w:pPr>
              <w:spacing w:before="62" w:beforeLines="20"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、项目变动情况说明</w:t>
            </w:r>
          </w:p>
          <w:p>
            <w:pPr>
              <w:spacing w:before="62" w:beforeLines="20" w:line="360" w:lineRule="auto"/>
              <w:ind w:firstLine="480" w:firstLineChars="200"/>
              <w:rPr>
                <w:rFonts w:ascii="宋体" w:hAnsi="宋体"/>
                <w:color w:val="auto"/>
                <w:sz w:val="24"/>
              </w:rPr>
            </w:pPr>
            <w:r>
              <w:rPr>
                <w:rFonts w:hint="eastAsia"/>
                <w:color w:val="auto"/>
                <w:sz w:val="24"/>
                <w:lang w:eastAsia="zh-CN"/>
              </w:rPr>
              <w:t>根据现场踏查，本项目较环评时期建设情况及生产规模基本一致，未发生重大改变。</w:t>
            </w:r>
            <w:r>
              <w:rPr>
                <w:rFonts w:hint="eastAsia"/>
                <w:i/>
                <w:iCs/>
                <w:color w:val="auto"/>
                <w:sz w:val="24"/>
                <w:lang w:eastAsia="zh-CN"/>
              </w:rPr>
              <w:t>（由于车间较为空旷，且操作台规格较大，不适合安装集中式布袋除尘设施，改建为单机滤袋除尘器）。</w:t>
            </w:r>
            <w:r>
              <w:rPr>
                <w:rFonts w:hint="eastAsia"/>
                <w:sz w:val="24"/>
                <w:lang w:eastAsia="zh-CN"/>
              </w:rPr>
              <w:t>吉林省环境保护厅吉环管字【2016】10号《吉林省环境保护厅关于加强建设项目重大变动环评管理的通知》要求，“建设项目重大变更主要包括的性质、规模、地点、生产工艺和环境保护措施五个因素中的一项或一项以上发生重大变动，且可能导致环境影响显著变化(特别是不利影响加重)的，界定为重大变动。”以该《通知》中其他工业类建设项目重大变动清单(试行)进行认定，而本项目“除尘方式”属于建设内容变动，但未引起污染因子和污染物排放量的增加，因此，不属于《通知》规定的重大变动，根据《通知》要求：虽存在变动但不属于重大变动的，可纳入竣工环境保护验收管理。本工程竣工环境保护验收内容无重大变动。</w:t>
            </w:r>
          </w:p>
          <w:p>
            <w:pPr>
              <w:spacing w:before="62" w:beforeLines="20" w:line="360" w:lineRule="auto"/>
              <w:rPr>
                <w:rFonts w:eastAsia="仿宋_GB2312"/>
                <w:color w:val="000000"/>
                <w:szCs w:val="21"/>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五</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验收监测质量保证及质量控制：</w:t>
            </w:r>
          </w:p>
          <w:p>
            <w:pPr>
              <w:spacing w:before="62" w:beforeLines="20" w:line="360" w:lineRule="auto"/>
              <w:rPr>
                <w:rFonts w:ascii="宋体" w:hAnsi="宋体"/>
                <w:color w:val="000000"/>
                <w:sz w:val="24"/>
              </w:rPr>
            </w:pP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本验收监测样品由监测单位按照技术规范进行样品采集。</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1、监测分析方法</w:t>
            </w:r>
          </w:p>
          <w:p>
            <w:pPr>
              <w:spacing w:line="360" w:lineRule="auto"/>
              <w:ind w:firstLine="480"/>
              <w:jc w:val="center"/>
              <w:rPr>
                <w:rFonts w:hint="default" w:ascii="Times New Roman" w:hAnsi="Times New Roman" w:cs="Times New Roman"/>
                <w:sz w:val="24"/>
              </w:rPr>
            </w:pPr>
            <w:r>
              <w:rPr>
                <w:rFonts w:hint="default" w:ascii="Times New Roman" w:hAnsi="Times New Roman" w:cs="Times New Roman"/>
                <w:sz w:val="24"/>
              </w:rPr>
              <w:t>表5-1  验收监测分析方法及标准</w:t>
            </w:r>
          </w:p>
          <w:tbl>
            <w:tblPr>
              <w:tblStyle w:val="26"/>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4531"/>
              <w:gridCol w:w="2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5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项目</w:t>
                  </w:r>
                </w:p>
              </w:tc>
              <w:tc>
                <w:tcPr>
                  <w:tcW w:w="453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方法</w:t>
                  </w:r>
                </w:p>
              </w:tc>
              <w:tc>
                <w:tcPr>
                  <w:tcW w:w="2126"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方法标准号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厂界噪声</w:t>
                  </w:r>
                </w:p>
              </w:tc>
              <w:tc>
                <w:tcPr>
                  <w:tcW w:w="4531"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工业企业厂界环境噪声排放标准</w:t>
                  </w:r>
                </w:p>
              </w:tc>
              <w:tc>
                <w:tcPr>
                  <w:tcW w:w="212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GB 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颗粒物</w:t>
                  </w:r>
                </w:p>
              </w:tc>
              <w:tc>
                <w:tcPr>
                  <w:tcW w:w="453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eastAsia="zh-CN"/>
                    </w:rPr>
                    <w:t>环境空气</w:t>
                  </w:r>
                  <w:r>
                    <w:rPr>
                      <w:rFonts w:hint="eastAsia" w:cs="Times New Roman"/>
                      <w:color w:val="000000" w:themeColor="text1"/>
                      <w:sz w:val="21"/>
                      <w:szCs w:val="21"/>
                      <w:lang w:val="en-US" w:eastAsia="zh-CN"/>
                    </w:rPr>
                    <w:t xml:space="preserve"> 总悬浮颗粒物的测定 重量法</w:t>
                  </w:r>
                </w:p>
              </w:tc>
              <w:tc>
                <w:tcPr>
                  <w:tcW w:w="2126"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GB/T </w:t>
                  </w:r>
                  <w:r>
                    <w:rPr>
                      <w:rFonts w:hint="eastAsia" w:cs="Times New Roman"/>
                      <w:color w:val="000000" w:themeColor="text1"/>
                      <w:sz w:val="21"/>
                      <w:szCs w:val="21"/>
                      <w:lang w:val="en-US" w:eastAsia="zh-CN"/>
                    </w:rPr>
                    <w:t>15432-1996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非甲烷总烃</w:t>
                  </w:r>
                </w:p>
              </w:tc>
              <w:tc>
                <w:tcPr>
                  <w:tcW w:w="453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总烃、甲烷和非甲烷总烃的测定 气相色谱法</w:t>
                  </w:r>
                </w:p>
              </w:tc>
              <w:tc>
                <w:tcPr>
                  <w:tcW w:w="2126"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38-2017</w:t>
                  </w:r>
                </w:p>
              </w:tc>
            </w:tr>
          </w:tbl>
          <w:p>
            <w:pPr>
              <w:rPr>
                <w:rFonts w:hint="default" w:ascii="Times New Roman" w:hAnsi="Times New Roman" w:cs="Times New Roman"/>
              </w:rPr>
            </w:pPr>
          </w:p>
          <w:p>
            <w:pPr>
              <w:ind w:firstLine="480" w:firstLineChars="200"/>
              <w:rPr>
                <w:rFonts w:hint="default" w:ascii="Times New Roman" w:hAnsi="Times New Roman" w:cs="Times New Roman"/>
                <w:sz w:val="24"/>
              </w:rPr>
            </w:pPr>
            <w:r>
              <w:rPr>
                <w:rFonts w:hint="default" w:ascii="Times New Roman" w:hAnsi="Times New Roman" w:cs="Times New Roman"/>
                <w:sz w:val="24"/>
              </w:rPr>
              <w:t>2、监测仪器</w:t>
            </w:r>
          </w:p>
          <w:p>
            <w:pPr>
              <w:ind w:firstLine="480" w:firstLineChars="200"/>
              <w:jc w:val="center"/>
              <w:rPr>
                <w:rFonts w:hint="default" w:ascii="Times New Roman" w:hAnsi="Times New Roman" w:cs="Times New Roman"/>
                <w:color w:val="000000"/>
                <w:sz w:val="24"/>
              </w:rPr>
            </w:pPr>
            <w:r>
              <w:rPr>
                <w:rFonts w:hint="default" w:ascii="Times New Roman" w:hAnsi="Times New Roman" w:cs="Times New Roman"/>
                <w:color w:val="000000"/>
                <w:sz w:val="24"/>
              </w:rPr>
              <w:t>表5-2    监测设备及仪器</w:t>
            </w:r>
          </w:p>
          <w:tbl>
            <w:tblPr>
              <w:tblStyle w:val="26"/>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2737"/>
              <w:gridCol w:w="1785"/>
              <w:gridCol w:w="2313"/>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型号</w:t>
                  </w:r>
                </w:p>
              </w:tc>
              <w:tc>
                <w:tcPr>
                  <w:tcW w:w="231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仪器编号</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3"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lang w:val="en-US"/>
                    </w:rPr>
                  </w:pPr>
                  <w:r>
                    <w:rPr>
                      <w:rFonts w:hint="eastAsia" w:cs="Times New Roman"/>
                      <w:b w:val="0"/>
                      <w:bCs w:val="0"/>
                      <w:color w:val="000000" w:themeColor="text1"/>
                      <w:sz w:val="21"/>
                      <w:szCs w:val="21"/>
                      <w:lang w:val="en-US" w:eastAsia="zh-CN"/>
                    </w:rPr>
                    <w:t>颗粒物</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themeColor="text1"/>
                      <w:sz w:val="21"/>
                      <w:szCs w:val="21"/>
                    </w:rPr>
                    <w:t>电子天平</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themeColor="text1"/>
                      <w:sz w:val="21"/>
                      <w:szCs w:val="21"/>
                    </w:rPr>
                    <w:t>ME204E</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color w:val="000000" w:themeColor="text1"/>
                      <w:sz w:val="21"/>
                      <w:szCs w:val="21"/>
                    </w:rPr>
                    <w:t>/YQ-006-201</w:t>
                  </w:r>
                  <w:r>
                    <w:rPr>
                      <w:rFonts w:hint="eastAsia" w:ascii="Times New Roman" w:hAnsi="Times New Roman" w:cs="Times New Roman"/>
                      <w:color w:val="000000" w:themeColor="text1"/>
                      <w:sz w:val="21"/>
                      <w:szCs w:val="21"/>
                      <w:lang w:val="en-US" w:eastAsia="zh-CN"/>
                    </w:rPr>
                    <w:t>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厂界噪声</w:t>
                  </w:r>
                </w:p>
              </w:tc>
              <w:tc>
                <w:tcPr>
                  <w:tcW w:w="2737"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eastAsia="zh-CN"/>
                    </w:rPr>
                    <w:t>多功能声级计</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AWA6228-6</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b w:val="0"/>
                      <w:bCs w:val="0"/>
                      <w:sz w:val="21"/>
                      <w:szCs w:val="21"/>
                    </w:rPr>
                    <w:t>/YQ-030-201</w:t>
                  </w:r>
                  <w:r>
                    <w:rPr>
                      <w:rFonts w:hint="eastAsia" w:ascii="Times New Roman" w:hAnsi="Times New Roman" w:cs="Times New Roman"/>
                      <w:b w:val="0"/>
                      <w:bCs w:val="0"/>
                      <w:sz w:val="21"/>
                      <w:szCs w:val="21"/>
                      <w:lang w:val="en-US" w:eastAsia="zh-CN"/>
                    </w:rPr>
                    <w:t>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jc w:val="center"/>
                    <w:rPr>
                      <w:rFonts w:hint="eastAsia" w:cs="Times New Roman"/>
                      <w:b w:val="0"/>
                      <w:bCs w:val="0"/>
                      <w:sz w:val="21"/>
                      <w:szCs w:val="21"/>
                      <w:lang w:val="en-US" w:eastAsia="zh-CN"/>
                    </w:rPr>
                  </w:pPr>
                  <w:r>
                    <w:rPr>
                      <w:rFonts w:hint="eastAsia" w:cs="Times New Roman"/>
                      <w:b w:val="0"/>
                      <w:bCs w:val="0"/>
                      <w:sz w:val="21"/>
                      <w:szCs w:val="21"/>
                      <w:lang w:val="en-US" w:eastAsia="zh-CN"/>
                    </w:rPr>
                    <w:t>非甲烷总烃</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cs="Times New Roman"/>
                      <w:i w:val="0"/>
                      <w:color w:val="000000"/>
                      <w:kern w:val="0"/>
                      <w:sz w:val="22"/>
                      <w:szCs w:val="22"/>
                      <w:u w:val="none"/>
                      <w:lang w:val="en-US" w:eastAsia="zh-CN" w:bidi="ar"/>
                    </w:rPr>
                  </w:pPr>
                  <w:r>
                    <w:rPr>
                      <w:rFonts w:hint="eastAsia" w:ascii="Times New Roman" w:hAnsi="Times New Roman" w:cs="Times New Roman"/>
                      <w:i w:val="0"/>
                      <w:color w:val="000000"/>
                      <w:kern w:val="0"/>
                      <w:sz w:val="22"/>
                      <w:szCs w:val="22"/>
                      <w:u w:val="none"/>
                      <w:lang w:val="en-US" w:eastAsia="zh-CN" w:bidi="ar"/>
                    </w:rPr>
                    <w:t>气相色谱仪</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cs="Times New Roman"/>
                      <w:sz w:val="21"/>
                      <w:szCs w:val="21"/>
                      <w:lang w:val="en-US" w:eastAsia="zh-CN"/>
                    </w:rPr>
                  </w:pPr>
                  <w:r>
                    <w:rPr>
                      <w:rFonts w:hint="eastAsia" w:cs="Times New Roman"/>
                      <w:sz w:val="21"/>
                      <w:szCs w:val="21"/>
                      <w:lang w:val="en-US" w:eastAsia="zh-CN"/>
                    </w:rPr>
                    <w:t>福立2030</w:t>
                  </w:r>
                </w:p>
              </w:tc>
              <w:tc>
                <w:tcPr>
                  <w:tcW w:w="2313" w:type="dxa"/>
                  <w:tcBorders>
                    <w:tl2br w:val="nil"/>
                    <w:tr2bl w:val="nil"/>
                  </w:tcBorders>
                  <w:vAlign w:val="center"/>
                </w:tcPr>
                <w:p>
                  <w:pPr>
                    <w:spacing w:line="0" w:lineRule="atLeast"/>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b w:val="0"/>
                      <w:bCs w:val="0"/>
                      <w:sz w:val="21"/>
                      <w:szCs w:val="21"/>
                    </w:rPr>
                    <w:t>/YQ-0</w:t>
                  </w:r>
                  <w:r>
                    <w:rPr>
                      <w:rFonts w:hint="eastAsia" w:ascii="Times New Roman" w:hAnsi="Times New Roman" w:eastAsia="宋体" w:cs="Times New Roman"/>
                      <w:b w:val="0"/>
                      <w:bCs w:val="0"/>
                      <w:sz w:val="21"/>
                      <w:szCs w:val="21"/>
                      <w:lang w:val="en-US" w:eastAsia="zh-CN"/>
                    </w:rPr>
                    <w:t>01</w:t>
                  </w: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p>
              </w:tc>
            </w:tr>
          </w:tbl>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w:t>
            </w:r>
            <w:r>
              <w:rPr>
                <w:rFonts w:hint="default" w:ascii="Times New Roman" w:hAnsi="Times New Roman" w:cs="Times New Roman"/>
                <w:sz w:val="24"/>
              </w:rPr>
              <w:t>验收监测</w:t>
            </w:r>
            <w:r>
              <w:rPr>
                <w:rFonts w:hint="default" w:ascii="Times New Roman" w:hAnsi="Times New Roman" w:cs="Times New Roman"/>
                <w:color w:val="000000"/>
                <w:sz w:val="24"/>
              </w:rPr>
              <w:t>质量控制</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验收监测质量控制是贯穿整个监测过程的质量保证体系，它包括了为保证样品监测数据准确可靠所采取所有活动和措施。具体包括技术人员水平和敬业精神、监测分析方法的选定、样品采集、实验室内部质量控制、数据处理和报告审核等一系列质量保证措施和技术要求。</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（1）人员资质</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检测人员经过专业技术培训，并按照《环境监测人员持证上岗考核制度》要求持证上岗。检测人员能正确熟练地掌握环境监测中操作技术和质量控制程序，熟知有关环境监测的法规、标准和规定。检测人员对所承担的分析测试项目熟悉方法原理、严守操作规程，能保证操作的准确无误。</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w:t>
            </w:r>
            <w:r>
              <w:rPr>
                <w:rFonts w:hint="default" w:ascii="Times New Roman" w:hAnsi="Times New Roman" w:cs="Times New Roman"/>
                <w:color w:val="000000"/>
                <w:sz w:val="24"/>
              </w:rPr>
              <w:t>气体监测分析过程中的质量保证和质量控制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时避免被测排放物中共存污染物对分析的交叉干扰。被测排放物的浓度在仪器量程的有效范围内（即30%～70%之间）。在采样器在进入现场前，对采样器流量计、流速计等进行校核。监测（分析）仪器在测试前按监测因子分别用标准气体和流量计对其进行校核（标定），保证测试时其采样流量的准确。监测样品做全程序空白样品，以判断分析结果的准确性。</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cs="Times New Roman"/>
                <w:color w:val="000000"/>
                <w:sz w:val="24"/>
              </w:rPr>
              <w:t>噪声监测分析过程中的质量保证和质量控制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声级计在测试前后用声校准器进行校准，测量前后仪器的灵敏度相差小于0.5dB。项目边界噪声监测结果按《环境噪声监测技术规范噪声测量值修正》（HJ 706-2014 ）的要求进行评价，对于只需判断噪声源排放是否达标的情况，若噪声测量值低于相应噪声源排放标准的限值，可以不进行背景噪声的测量及修正。</w:t>
            </w:r>
          </w:p>
          <w:p>
            <w:pPr>
              <w:pStyle w:val="30"/>
              <w:ind w:left="0" w:leftChars="0" w:firstLine="0" w:firstLineChars="0"/>
              <w:rPr>
                <w:rFonts w:hint="default" w:ascii="Times New Roman" w:hAnsi="Times New Roman" w:cs="Times New Roman"/>
                <w:sz w:val="24"/>
              </w:rPr>
            </w:pPr>
          </w:p>
          <w:p>
            <w:pPr>
              <w:pStyle w:val="30"/>
              <w:ind w:left="0" w:leftChars="0" w:firstLine="0" w:firstLineChars="0"/>
              <w:rPr>
                <w:rFonts w:hint="default" w:ascii="Times New Roman" w:hAnsi="Times New Roman" w:cs="Times New Roman"/>
                <w:sz w:val="24"/>
              </w:rPr>
            </w:pPr>
          </w:p>
          <w:p>
            <w:pPr>
              <w:pStyle w:val="50"/>
              <w:ind w:left="0" w:leftChars="0" w:firstLine="0" w:firstLineChars="0"/>
              <w:rPr>
                <w:rFonts w:hint="eastAsia"/>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tc>
      </w:tr>
    </w:tbl>
    <w:p>
      <w:pPr>
        <w:pStyle w:val="4"/>
        <w:spacing w:before="0" w:after="0" w:line="240" w:lineRule="auto"/>
        <w:ind w:firstLine="602"/>
        <w:rPr>
          <w:rFonts w:eastAsia="仿宋_GB2312"/>
          <w:b w:val="0"/>
          <w:color w:val="000000"/>
          <w:sz w:val="21"/>
          <w:szCs w:val="21"/>
        </w:rPr>
      </w:pPr>
      <w:r>
        <w:rPr>
          <w:rFonts w:ascii="宋体" w:hAnsi="宋体" w:eastAsia="宋体"/>
          <w:sz w:val="24"/>
        </w:rPr>
        <w:t>表</w:t>
      </w:r>
      <w:r>
        <w:rPr>
          <w:rFonts w:hint="eastAsia" w:ascii="宋体" w:hAnsi="宋体" w:eastAsia="宋体"/>
          <w:sz w:val="24"/>
        </w:rPr>
        <w:t>六</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验收监测内容：</w:t>
            </w:r>
          </w:p>
          <w:p>
            <w:pPr>
              <w:spacing w:before="62" w:beforeLines="20" w:line="360" w:lineRule="auto"/>
              <w:ind w:firstLine="480" w:firstLineChars="200"/>
              <w:rPr>
                <w:rFonts w:hint="default" w:ascii="Times New Roman" w:hAnsi="Times New Roman" w:cs="Times New Roman"/>
                <w:color w:val="000000"/>
                <w:sz w:val="24"/>
              </w:rPr>
            </w:pPr>
            <w:bookmarkStart w:id="5" w:name="_Toc29485"/>
            <w:bookmarkStart w:id="6" w:name="_Toc12374"/>
            <w:r>
              <w:rPr>
                <w:rFonts w:hint="default" w:ascii="Times New Roman" w:hAnsi="Times New Roman" w:cs="Times New Roman"/>
                <w:color w:val="000000"/>
                <w:sz w:val="24"/>
              </w:rPr>
              <w:t>1、废气</w:t>
            </w:r>
            <w:bookmarkEnd w:id="5"/>
            <w:bookmarkEnd w:id="6"/>
          </w:p>
          <w:p>
            <w:pPr>
              <w:pStyle w:val="22"/>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气体监测情况详见表6-</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，监测位置详见附图2。</w:t>
            </w:r>
          </w:p>
          <w:p>
            <w:pPr>
              <w:pStyle w:val="2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表6-1  气体监测情况</w:t>
            </w:r>
          </w:p>
          <w:tbl>
            <w:tblPr>
              <w:tblStyle w:val="27"/>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52"/>
              <w:gridCol w:w="4692"/>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4"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废气</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监测点位名称</w:t>
                  </w:r>
                </w:p>
              </w:tc>
              <w:tc>
                <w:tcPr>
                  <w:tcW w:w="46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布点要求</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F1</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1#监测点</w:t>
                  </w:r>
                </w:p>
              </w:tc>
              <w:tc>
                <w:tcPr>
                  <w:tcW w:w="46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厂界上风向</w:t>
                  </w:r>
                  <w:r>
                    <w:rPr>
                      <w:rFonts w:hint="eastAsia" w:cs="Times New Roman"/>
                      <w:sz w:val="21"/>
                      <w:szCs w:val="21"/>
                      <w:lang w:val="en-US" w:eastAsia="zh-CN"/>
                    </w:rPr>
                    <w:t>10米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F2</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F3</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F4</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G1</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胶合废气排气筒</w:t>
                  </w:r>
                </w:p>
              </w:tc>
              <w:tc>
                <w:tcPr>
                  <w:tcW w:w="1684"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监测点：颗粒物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#监测点</w:t>
                  </w:r>
                  <w:r>
                    <w:rPr>
                      <w:rFonts w:hint="eastAsia" w:ascii="Times New Roman" w:hAnsi="Times New Roman" w:eastAsia="宋体" w:cs="Times New Roman"/>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3次/天，2天</w:t>
                  </w:r>
                </w:p>
              </w:tc>
            </w:tr>
          </w:tbl>
          <w:p>
            <w:pPr>
              <w:spacing w:before="62" w:beforeLines="20"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2、废水</w:t>
            </w:r>
          </w:p>
          <w:p>
            <w:pPr>
              <w:spacing w:before="62" w:beforeLines="20" w:line="360" w:lineRule="auto"/>
              <w:ind w:firstLine="480" w:firstLineChars="200"/>
              <w:rPr>
                <w:rFonts w:hint="default" w:ascii="Times New Roman" w:hAnsi="Times New Roman" w:cs="Times New Roman"/>
                <w:color w:val="000000"/>
                <w:sz w:val="24"/>
                <w:lang w:val="en-US" w:eastAsia="zh-CN"/>
              </w:rPr>
            </w:pPr>
            <w:r>
              <w:rPr>
                <w:rFonts w:hint="eastAsia" w:cs="Times New Roman"/>
                <w:color w:val="000000"/>
                <w:sz w:val="24"/>
                <w:lang w:val="en-US" w:eastAsia="zh-CN"/>
              </w:rPr>
              <w:t>本项目生产不用水，无生产废水排放。生活污水全部排入企业自建防渗旱厕，定期清掏，用作农家肥，不排入地表环境水体，本次验收不对废水进行监测评价</w:t>
            </w:r>
            <w:r>
              <w:rPr>
                <w:rFonts w:hint="default" w:ascii="Times New Roman" w:hAnsi="Times New Roman" w:cs="Times New Roman"/>
                <w:color w:val="000000"/>
                <w:sz w:val="24"/>
                <w:lang w:val="en-US" w:eastAsia="zh-CN"/>
              </w:rPr>
              <w:t>。</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、噪声监测</w:t>
            </w:r>
          </w:p>
          <w:p>
            <w:pPr>
              <w:spacing w:before="62"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厂界噪声监测情况详见表6-3，监测位置详见附图2</w:t>
            </w:r>
            <w:r>
              <w:rPr>
                <w:rFonts w:hint="default" w:ascii="Times New Roman" w:hAnsi="Times New Roman" w:cs="Times New Roman"/>
                <w:sz w:val="24"/>
              </w:rPr>
              <w:t>。</w:t>
            </w:r>
          </w:p>
          <w:p>
            <w:pPr>
              <w:pStyle w:val="2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表6-3   厂界噪声监测情况</w:t>
            </w:r>
          </w:p>
          <w:tbl>
            <w:tblPr>
              <w:tblStyle w:val="26"/>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81"/>
              <w:gridCol w:w="3546"/>
              <w:gridCol w:w="2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8" w:type="dxa"/>
                  <w:gridSpan w:val="4"/>
                  <w:tcBorders>
                    <w:top w:val="single" w:color="auto" w:sz="12" w:space="0"/>
                  </w:tcBorders>
                  <w:noWrap w:val="0"/>
                  <w:vAlign w:val="center"/>
                </w:tcPr>
                <w:p>
                  <w:pPr>
                    <w:jc w:val="center"/>
                    <w:rPr>
                      <w:b/>
                      <w:bCs/>
                    </w:rPr>
                  </w:pPr>
                  <w:r>
                    <w:rPr>
                      <w:rFonts w:hint="eastAsia" w:cs="宋体"/>
                      <w:b/>
                      <w:bCs/>
                      <w:lang w:eastAsia="zh-CN"/>
                    </w:rPr>
                    <w:t>声</w:t>
                  </w:r>
                  <w:r>
                    <w:rPr>
                      <w:rFonts w:hint="eastAsia" w:cs="宋体"/>
                      <w:b/>
                      <w:bCs/>
                    </w:rPr>
                    <w:t>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pPr>
                  <w:r>
                    <w:rPr>
                      <w:rFonts w:hint="eastAsia" w:cs="宋体"/>
                    </w:rPr>
                    <w:t>序号</w:t>
                  </w:r>
                </w:p>
              </w:tc>
              <w:tc>
                <w:tcPr>
                  <w:tcW w:w="2281" w:type="dxa"/>
                  <w:noWrap w:val="0"/>
                  <w:vAlign w:val="center"/>
                </w:tcPr>
                <w:p>
                  <w:pPr>
                    <w:jc w:val="center"/>
                  </w:pPr>
                  <w:r>
                    <w:rPr>
                      <w:rFonts w:hint="eastAsia" w:cs="宋体"/>
                    </w:rPr>
                    <w:t>监测点位名称</w:t>
                  </w:r>
                </w:p>
              </w:tc>
              <w:tc>
                <w:tcPr>
                  <w:tcW w:w="3546" w:type="dxa"/>
                  <w:noWrap w:val="0"/>
                  <w:vAlign w:val="center"/>
                </w:tcPr>
                <w:p>
                  <w:pPr>
                    <w:jc w:val="center"/>
                  </w:pPr>
                  <w:r>
                    <w:rPr>
                      <w:rFonts w:hint="eastAsia" w:cs="宋体"/>
                    </w:rPr>
                    <w:t>布点要求</w:t>
                  </w:r>
                </w:p>
              </w:tc>
              <w:tc>
                <w:tcPr>
                  <w:tcW w:w="2191" w:type="dxa"/>
                  <w:noWrap w:val="0"/>
                  <w:vAlign w:val="center"/>
                </w:tcPr>
                <w:p>
                  <w:pPr>
                    <w:jc w:val="center"/>
                  </w:pPr>
                  <w:r>
                    <w:rPr>
                      <w:rFonts w:hint="eastAsia" w:cs="宋体"/>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rPr>
                      <w:rFonts w:hint="default" w:eastAsia="宋体"/>
                      <w:lang w:val="en-US" w:eastAsia="zh-CN"/>
                    </w:rPr>
                  </w:pPr>
                  <w:r>
                    <w:rPr>
                      <w:rFonts w:hint="eastAsia"/>
                      <w:lang w:val="en-US" w:eastAsia="zh-CN"/>
                    </w:rPr>
                    <w:t>N1</w:t>
                  </w:r>
                </w:p>
              </w:tc>
              <w:tc>
                <w:tcPr>
                  <w:tcW w:w="2281" w:type="dxa"/>
                  <w:noWrap w:val="0"/>
                  <w:vAlign w:val="center"/>
                </w:tcPr>
                <w:p>
                  <w:pPr>
                    <w:keepNext w:val="0"/>
                    <w:keepLines w:val="0"/>
                    <w:suppressLineNumbers w:val="0"/>
                    <w:spacing w:before="0" w:beforeAutospacing="0" w:after="0" w:afterAutospacing="0"/>
                    <w:ind w:left="0" w:leftChars="0" w:right="0" w:rightChars="0"/>
                    <w:jc w:val="center"/>
                    <w:rPr>
                      <w:rFonts w:hint="eastAsia"/>
                    </w:rPr>
                  </w:pPr>
                  <w:r>
                    <w:rPr>
                      <w:rFonts w:hint="eastAsia" w:cs="Times New Roman"/>
                      <w:sz w:val="21"/>
                      <w:szCs w:val="21"/>
                      <w:lang w:val="en-US" w:eastAsia="zh-CN"/>
                    </w:rPr>
                    <w:t>6</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厂界东侧1m</w:t>
                  </w:r>
                </w:p>
              </w:tc>
              <w:tc>
                <w:tcPr>
                  <w:tcW w:w="2191" w:type="dxa"/>
                  <w:noWrap w:val="0"/>
                  <w:vAlign w:val="center"/>
                </w:tcPr>
                <w:p>
                  <w:pPr>
                    <w:jc w:val="center"/>
                    <w:rPr>
                      <w:rFonts w:hint="eastAsia" w:eastAsia="宋体"/>
                      <w:lang w:val="en-US" w:eastAsia="zh-CN"/>
                    </w:rP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rPr>
                      <w:rFonts w:hint="default" w:eastAsia="宋体"/>
                      <w:lang w:val="en-US" w:eastAsia="zh-CN"/>
                    </w:rPr>
                  </w:pPr>
                  <w:r>
                    <w:rPr>
                      <w:rFonts w:hint="eastAsia"/>
                      <w:lang w:val="en-US" w:eastAsia="zh-CN"/>
                    </w:rPr>
                    <w:t>N2</w:t>
                  </w:r>
                </w:p>
              </w:tc>
              <w:tc>
                <w:tcPr>
                  <w:tcW w:w="2281" w:type="dxa"/>
                  <w:noWrap w:val="0"/>
                  <w:vAlign w:val="center"/>
                </w:tcPr>
                <w:p>
                  <w:pPr>
                    <w:keepNext w:val="0"/>
                    <w:keepLines w:val="0"/>
                    <w:suppressLineNumbers w:val="0"/>
                    <w:spacing w:before="0" w:beforeAutospacing="0" w:after="0" w:afterAutospacing="0"/>
                    <w:ind w:left="0" w:leftChars="0" w:right="0" w:rightChars="0"/>
                    <w:jc w:val="center"/>
                  </w:pPr>
                  <w:r>
                    <w:rPr>
                      <w:rFonts w:hint="eastAsia" w:cs="Times New Roman"/>
                      <w:sz w:val="21"/>
                      <w:szCs w:val="21"/>
                      <w:lang w:val="en-US" w:eastAsia="zh-CN"/>
                    </w:rPr>
                    <w:t>7</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厂界南侧1m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rPr>
                      <w:rFonts w:hint="default" w:eastAsia="宋体"/>
                      <w:lang w:val="en-US" w:eastAsia="zh-CN"/>
                    </w:rPr>
                  </w:pPr>
                  <w:r>
                    <w:rPr>
                      <w:rFonts w:hint="eastAsia"/>
                      <w:lang w:val="en-US" w:eastAsia="zh-CN"/>
                    </w:rPr>
                    <w:t>N3</w:t>
                  </w:r>
                </w:p>
              </w:tc>
              <w:tc>
                <w:tcPr>
                  <w:tcW w:w="2281" w:type="dxa"/>
                  <w:noWrap w:val="0"/>
                  <w:vAlign w:val="center"/>
                </w:tcPr>
                <w:p>
                  <w:pPr>
                    <w:keepNext w:val="0"/>
                    <w:keepLines w:val="0"/>
                    <w:suppressLineNumbers w:val="0"/>
                    <w:spacing w:before="0" w:beforeAutospacing="0" w:after="0" w:afterAutospacing="0"/>
                    <w:ind w:left="0" w:leftChars="0" w:right="0" w:rightChars="0"/>
                    <w:jc w:val="center"/>
                  </w:pPr>
                  <w:r>
                    <w:rPr>
                      <w:rFonts w:hint="eastAsia" w:cs="Times New Roman"/>
                      <w:sz w:val="21"/>
                      <w:szCs w:val="21"/>
                      <w:lang w:val="en-US" w:eastAsia="zh-CN"/>
                    </w:rPr>
                    <w:t>8</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厂界西侧1m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90" w:type="dxa"/>
                  <w:noWrap w:val="0"/>
                  <w:vAlign w:val="center"/>
                </w:tcPr>
                <w:p>
                  <w:pPr>
                    <w:jc w:val="center"/>
                    <w:rPr>
                      <w:rFonts w:hint="default" w:eastAsia="宋体"/>
                      <w:lang w:val="en-US" w:eastAsia="zh-CN"/>
                    </w:rPr>
                  </w:pPr>
                  <w:r>
                    <w:rPr>
                      <w:rFonts w:hint="eastAsia"/>
                      <w:lang w:val="en-US" w:eastAsia="zh-CN"/>
                    </w:rPr>
                    <w:t>N4</w:t>
                  </w:r>
                </w:p>
              </w:tc>
              <w:tc>
                <w:tcPr>
                  <w:tcW w:w="2281" w:type="dxa"/>
                  <w:noWrap w:val="0"/>
                  <w:vAlign w:val="center"/>
                </w:tcPr>
                <w:p>
                  <w:pPr>
                    <w:jc w:val="center"/>
                    <w:rPr>
                      <w:rFonts w:hint="eastAsia" w:eastAsia="宋体"/>
                      <w:lang w:val="en-US" w:eastAsia="zh-CN"/>
                    </w:rPr>
                  </w:pPr>
                  <w:r>
                    <w:rPr>
                      <w:rFonts w:hint="eastAsia" w:cs="Times New Roman"/>
                      <w:sz w:val="21"/>
                      <w:szCs w:val="21"/>
                      <w:lang w:val="en-US" w:eastAsia="zh-CN"/>
                    </w:rPr>
                    <w:t>9</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厂界北侧1m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1" w:type="dxa"/>
                  <w:gridSpan w:val="2"/>
                  <w:noWrap w:val="0"/>
                  <w:vAlign w:val="center"/>
                </w:tcPr>
                <w:p>
                  <w:pPr>
                    <w:jc w:val="center"/>
                  </w:pPr>
                  <w:r>
                    <w:rPr>
                      <w:rFonts w:hint="eastAsia" w:cs="宋体"/>
                    </w:rPr>
                    <w:t>监测项目</w:t>
                  </w:r>
                </w:p>
              </w:tc>
              <w:tc>
                <w:tcPr>
                  <w:tcW w:w="5737" w:type="dxa"/>
                  <w:gridSpan w:val="2"/>
                  <w:noWrap w:val="0"/>
                  <w:vAlign w:val="center"/>
                </w:tcPr>
                <w:p>
                  <w:pPr>
                    <w:jc w:val="center"/>
                  </w:pPr>
                  <w:r>
                    <w:t>dB</w:t>
                  </w:r>
                  <w:r>
                    <w:rPr>
                      <w:rFonts w:hint="eastAsia" w:cs="宋体"/>
                    </w:rPr>
                    <w:t>（</w:t>
                  </w:r>
                  <w:r>
                    <w:t>A</w:t>
                  </w:r>
                  <w:r>
                    <w:rPr>
                      <w:rFonts w:hint="eastAsia" w:cs="宋体"/>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1" w:type="dxa"/>
                  <w:gridSpan w:val="2"/>
                  <w:noWrap w:val="0"/>
                  <w:vAlign w:val="center"/>
                </w:tcPr>
                <w:p>
                  <w:pPr>
                    <w:jc w:val="center"/>
                  </w:pPr>
                  <w:r>
                    <w:rPr>
                      <w:rFonts w:hint="eastAsia" w:cs="宋体"/>
                    </w:rPr>
                    <w:t>监测频次</w:t>
                  </w:r>
                </w:p>
              </w:tc>
              <w:tc>
                <w:tcPr>
                  <w:tcW w:w="5737" w:type="dxa"/>
                  <w:gridSpan w:val="2"/>
                  <w:noWrap w:val="0"/>
                  <w:vAlign w:val="center"/>
                </w:tcPr>
                <w:p>
                  <w:pPr>
                    <w:jc w:val="center"/>
                    <w:rPr>
                      <w:rFonts w:hint="eastAsia"/>
                    </w:rPr>
                  </w:pPr>
                  <w:r>
                    <w:rPr>
                      <w:rFonts w:hint="eastAsia"/>
                    </w:rPr>
                    <w:t>2天，昼夜各1次</w:t>
                  </w:r>
                </w:p>
              </w:tc>
            </w:tr>
          </w:tbl>
          <w:p>
            <w:pPr>
              <w:spacing w:before="62" w:beforeLines="20" w:line="360" w:lineRule="auto"/>
              <w:rPr>
                <w:rFonts w:hint="eastAsia" w:eastAsia="仿宋_GB2312"/>
                <w:color w:val="000000"/>
                <w:szCs w:val="21"/>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七</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验收监测期间生产工况记录：</w:t>
            </w:r>
          </w:p>
          <w:p>
            <w:pPr>
              <w:pStyle w:val="65"/>
              <w:spacing w:before="156" w:beforeLines="50"/>
              <w:ind w:firstLine="480"/>
              <w:rPr>
                <w:rFonts w:hint="eastAsia"/>
              </w:rPr>
            </w:pPr>
            <w:r>
              <w:rPr>
                <w:rFonts w:hint="eastAsia"/>
              </w:rPr>
              <w:t>验收监测期间，该项目处于生产状态，生产期间工况稳定，项目验收监测期间工况负荷，大于75%，工程竣工环保验收监测期间生产负荷已满足国家对监测项目竣工环保验收监测的技术要求。验收监测期间生产工况详见表7-1所示。</w:t>
            </w:r>
          </w:p>
          <w:p>
            <w:pPr>
              <w:pStyle w:val="65"/>
              <w:spacing w:before="156" w:beforeLines="50" w:line="240" w:lineRule="auto"/>
              <w:ind w:firstLine="0" w:firstLineChars="0"/>
              <w:jc w:val="center"/>
              <w:rPr>
                <w:rFonts w:hint="eastAsia"/>
                <w:b/>
                <w:bCs/>
              </w:rPr>
            </w:pPr>
            <w:r>
              <w:rPr>
                <w:rFonts w:hint="eastAsia"/>
                <w:b/>
                <w:bCs/>
              </w:rPr>
              <w:t>表7-1  验收监测期间生产工况表</w:t>
            </w:r>
          </w:p>
          <w:tbl>
            <w:tblPr>
              <w:tblStyle w:val="26"/>
              <w:tblW w:w="8693" w:type="dxa"/>
              <w:tblInd w:w="0" w:type="dxa"/>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365"/>
              <w:gridCol w:w="2205"/>
              <w:gridCol w:w="2205"/>
              <w:gridCol w:w="1503"/>
            </w:tblGrid>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15" w:type="dxa"/>
                  <w:tcBorders>
                    <w:top w:val="single" w:color="auto" w:sz="12" w:space="0"/>
                    <w:left w:val="nil"/>
                    <w:bottom w:val="single" w:color="auto" w:sz="4" w:space="0"/>
                  </w:tcBorders>
                  <w:noWrap w:val="0"/>
                  <w:vAlign w:val="center"/>
                </w:tcPr>
                <w:p>
                  <w:pPr>
                    <w:pStyle w:val="44"/>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日期</w:t>
                  </w:r>
                </w:p>
              </w:tc>
              <w:tc>
                <w:tcPr>
                  <w:tcW w:w="1365" w:type="dxa"/>
                  <w:tcBorders>
                    <w:top w:val="single" w:color="auto" w:sz="12" w:space="0"/>
                    <w:left w:val="nil"/>
                    <w:bottom w:val="single" w:color="auto" w:sz="4" w:space="0"/>
                  </w:tcBorders>
                  <w:noWrap w:val="0"/>
                  <w:vAlign w:val="center"/>
                </w:tcPr>
                <w:p>
                  <w:pPr>
                    <w:pStyle w:val="44"/>
                    <w:rPr>
                      <w:rFonts w:hint="default" w:ascii="Times New Roman" w:hAnsi="Times New Roman" w:cs="Times New Roman"/>
                      <w:sz w:val="21"/>
                      <w:szCs w:val="21"/>
                    </w:rPr>
                  </w:pPr>
                  <w:r>
                    <w:rPr>
                      <w:rFonts w:hint="default" w:ascii="Times New Roman" w:hAnsi="Times New Roman" w:cs="Times New Roman"/>
                      <w:sz w:val="21"/>
                      <w:szCs w:val="21"/>
                    </w:rPr>
                    <w:t>运行负荷%</w:t>
                  </w:r>
                </w:p>
              </w:tc>
              <w:tc>
                <w:tcPr>
                  <w:tcW w:w="2205" w:type="dxa"/>
                  <w:tcBorders>
                    <w:top w:val="single" w:color="auto" w:sz="12" w:space="0"/>
                    <w:left w:val="nil"/>
                    <w:bottom w:val="single" w:color="auto" w:sz="4" w:space="0"/>
                  </w:tcBorders>
                  <w:noWrap w:val="0"/>
                  <w:vAlign w:val="center"/>
                </w:tcPr>
                <w:p>
                  <w:pPr>
                    <w:pStyle w:val="44"/>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环评产能</w:t>
                  </w:r>
                </w:p>
              </w:tc>
              <w:tc>
                <w:tcPr>
                  <w:tcW w:w="2205" w:type="dxa"/>
                  <w:tcBorders>
                    <w:top w:val="single" w:color="auto" w:sz="12" w:space="0"/>
                    <w:bottom w:val="single" w:color="auto" w:sz="4" w:space="0"/>
                  </w:tcBorders>
                  <w:noWrap w:val="0"/>
                  <w:vAlign w:val="center"/>
                </w:tcPr>
                <w:p>
                  <w:pPr>
                    <w:pStyle w:val="44"/>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实际产能</w:t>
                  </w:r>
                </w:p>
              </w:tc>
              <w:tc>
                <w:tcPr>
                  <w:tcW w:w="1503" w:type="dxa"/>
                  <w:tcBorders>
                    <w:top w:val="single" w:color="auto" w:sz="12" w:space="0"/>
                    <w:bottom w:val="single" w:color="auto" w:sz="4" w:space="0"/>
                  </w:tcBorders>
                  <w:noWrap w:val="0"/>
                  <w:vAlign w:val="center"/>
                </w:tcPr>
                <w:p>
                  <w:pPr>
                    <w:pStyle w:val="44"/>
                    <w:ind w:left="109" w:leftChars="0" w:hanging="109" w:firstLineChars="0"/>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备注</w:t>
                  </w:r>
                </w:p>
              </w:tc>
            </w:tr>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415" w:type="dxa"/>
                  <w:tcBorders>
                    <w:top w:val="single" w:color="auto" w:sz="4" w:space="0"/>
                    <w:left w:val="nil"/>
                  </w:tcBorders>
                  <w:noWrap w:val="0"/>
                  <w:vAlign w:val="center"/>
                </w:tcPr>
                <w:p>
                  <w:pPr>
                    <w:pStyle w:val="44"/>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2021.4.19</w:t>
                  </w:r>
                </w:p>
              </w:tc>
              <w:tc>
                <w:tcPr>
                  <w:tcW w:w="1365" w:type="dxa"/>
                  <w:tcBorders>
                    <w:top w:val="single" w:color="auto" w:sz="4" w:space="0"/>
                    <w:left w:val="single" w:color="auto" w:sz="4" w:space="0"/>
                  </w:tcBorders>
                  <w:noWrap w:val="0"/>
                  <w:vAlign w:val="center"/>
                </w:tcPr>
                <w:p>
                  <w:pPr>
                    <w:pStyle w:val="44"/>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2205" w:type="dxa"/>
                  <w:tcBorders>
                    <w:top w:val="single" w:color="auto" w:sz="4" w:space="0"/>
                    <w:left w:val="single" w:color="auto" w:sz="4" w:space="0"/>
                    <w:bottom w:val="single" w:color="auto" w:sz="4" w:space="0"/>
                  </w:tcBorders>
                  <w:noWrap w:val="0"/>
                  <w:vAlign w:val="center"/>
                </w:tcPr>
                <w:p>
                  <w:pPr>
                    <w:pStyle w:val="44"/>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2205" w:type="dxa"/>
                  <w:tcBorders>
                    <w:top w:val="single" w:color="auto" w:sz="4" w:space="0"/>
                  </w:tcBorders>
                  <w:noWrap w:val="0"/>
                  <w:vAlign w:val="center"/>
                </w:tcPr>
                <w:p>
                  <w:pPr>
                    <w:pStyle w:val="44"/>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1503" w:type="dxa"/>
                  <w:tcBorders>
                    <w:top w:val="single" w:color="auto" w:sz="4" w:space="0"/>
                  </w:tcBorders>
                  <w:noWrap w:val="0"/>
                  <w:vAlign w:val="center"/>
                </w:tcPr>
                <w:p>
                  <w:pPr>
                    <w:pStyle w:val="44"/>
                    <w:widowControl/>
                    <w:ind w:left="109" w:leftChars="0" w:hanging="109" w:firstLineChars="0"/>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415" w:type="dxa"/>
                  <w:tcBorders>
                    <w:top w:val="single" w:color="auto" w:sz="4" w:space="0"/>
                    <w:left w:val="nil"/>
                  </w:tcBorders>
                  <w:noWrap w:val="0"/>
                  <w:vAlign w:val="center"/>
                </w:tcPr>
                <w:p>
                  <w:pPr>
                    <w:pStyle w:val="44"/>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2021.4.20</w:t>
                  </w:r>
                </w:p>
              </w:tc>
              <w:tc>
                <w:tcPr>
                  <w:tcW w:w="1365" w:type="dxa"/>
                  <w:tcBorders>
                    <w:top w:val="single" w:color="auto" w:sz="4" w:space="0"/>
                    <w:left w:val="single" w:color="auto" w:sz="4" w:space="0"/>
                  </w:tcBorders>
                  <w:noWrap w:val="0"/>
                  <w:vAlign w:val="center"/>
                </w:tcPr>
                <w:p>
                  <w:pPr>
                    <w:pStyle w:val="44"/>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2205" w:type="dxa"/>
                  <w:tcBorders>
                    <w:top w:val="single" w:color="auto" w:sz="4" w:space="0"/>
                    <w:left w:val="single" w:color="auto" w:sz="4" w:space="0"/>
                    <w:bottom w:val="single" w:color="auto" w:sz="4" w:space="0"/>
                  </w:tcBorders>
                  <w:noWrap w:val="0"/>
                  <w:vAlign w:val="center"/>
                </w:tcPr>
                <w:p>
                  <w:pPr>
                    <w:widowControl/>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2205" w:type="dxa"/>
                  <w:tcBorders>
                    <w:top w:val="single" w:color="auto" w:sz="4" w:space="0"/>
                  </w:tcBorders>
                  <w:noWrap w:val="0"/>
                  <w:vAlign w:val="center"/>
                </w:tcPr>
                <w:p>
                  <w:pPr>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1503" w:type="dxa"/>
                  <w:tcBorders>
                    <w:top w:val="single" w:color="auto" w:sz="4" w:space="0"/>
                  </w:tcBorders>
                  <w:noWrap w:val="0"/>
                  <w:vAlign w:val="center"/>
                </w:tcPr>
                <w:p>
                  <w:pPr>
                    <w:pStyle w:val="44"/>
                    <w:widowControl/>
                    <w:ind w:left="109" w:leftChars="0" w:hanging="109" w:firstLineChars="0"/>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bl>
          <w:p>
            <w:pPr>
              <w:pStyle w:val="21"/>
              <w:spacing w:after="0" w:line="360" w:lineRule="auto"/>
              <w:ind w:firstLine="2650" w:firstLineChars="1100"/>
              <w:jc w:val="both"/>
              <w:rPr>
                <w:rFonts w:hint="eastAsia"/>
                <w:b/>
                <w:color w:val="000000"/>
                <w:sz w:val="24"/>
                <w:szCs w:val="24"/>
              </w:rPr>
            </w:pPr>
            <w:r>
              <w:rPr>
                <w:rFonts w:hint="eastAsia"/>
                <w:b/>
                <w:color w:val="000000"/>
                <w:sz w:val="24"/>
                <w:szCs w:val="24"/>
              </w:rPr>
              <w:t xml:space="preserve"> 验收监测期间气象参数</w:t>
            </w:r>
          </w:p>
          <w:tbl>
            <w:tblPr>
              <w:tblStyle w:val="26"/>
              <w:tblW w:w="873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85"/>
              <w:gridCol w:w="1359"/>
              <w:gridCol w:w="1534"/>
              <w:gridCol w:w="1503"/>
              <w:gridCol w:w="1391"/>
              <w:gridCol w:w="15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采样日期</w:t>
                  </w:r>
                </w:p>
              </w:tc>
              <w:tc>
                <w:tcPr>
                  <w:tcW w:w="1359" w:type="dxa"/>
                  <w:vMerge w:val="restart"/>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频次</w:t>
                  </w:r>
                </w:p>
              </w:tc>
              <w:tc>
                <w:tcPr>
                  <w:tcW w:w="5991" w:type="dxa"/>
                  <w:gridSpan w:val="4"/>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气象参数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大气压（kPa）</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温度（℃）</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风向</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风速（m/s）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44"/>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2021.4.19</w:t>
                  </w: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3</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14</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auto"/>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18</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auto"/>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7</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16</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44"/>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2021.4.20</w:t>
                  </w: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15</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8</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17</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9</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15</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3.4</w:t>
                  </w:r>
                </w:p>
              </w:tc>
            </w:tr>
          </w:tbl>
          <w:p>
            <w:pPr>
              <w:spacing w:before="62" w:beforeLines="20" w:line="360" w:lineRule="auto"/>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验收监测结果：</w:t>
            </w:r>
          </w:p>
          <w:p>
            <w:pPr>
              <w:numPr>
                <w:ilvl w:val="0"/>
                <w:numId w:val="4"/>
              </w:num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废气</w:t>
            </w:r>
          </w:p>
          <w:p>
            <w:pPr>
              <w:pStyle w:val="22"/>
              <w:numPr>
                <w:ilvl w:val="0"/>
                <w:numId w:val="0"/>
              </w:numPr>
              <w:rPr>
                <w:rFonts w:hint="default" w:ascii="Times New Roman" w:hAnsi="Times New Roman" w:cs="Times New Roman"/>
                <w:sz w:val="24"/>
                <w:szCs w:val="28"/>
                <w:lang w:val="en-US" w:eastAsia="zh-CN"/>
              </w:rPr>
            </w:pPr>
            <w:r>
              <w:rPr>
                <w:rFonts w:hint="eastAsia" w:ascii="Times New Roman" w:hAnsi="Times New Roman" w:cs="Times New Roman"/>
                <w:sz w:val="24"/>
                <w:szCs w:val="28"/>
                <w:lang w:val="en-US" w:eastAsia="zh-CN"/>
              </w:rPr>
              <w:t xml:space="preserve">    </w:t>
            </w:r>
            <w:r>
              <w:rPr>
                <w:rFonts w:hint="default" w:ascii="Times New Roman" w:hAnsi="Times New Roman" w:cs="Times New Roman"/>
                <w:sz w:val="24"/>
                <w:szCs w:val="28"/>
                <w:lang w:val="en-US" w:eastAsia="zh-CN"/>
              </w:rPr>
              <w:t>①无组织</w:t>
            </w:r>
          </w:p>
          <w:p>
            <w:pPr>
              <w:pStyle w:val="22"/>
              <w:numPr>
                <w:ilvl w:val="0"/>
                <w:numId w:val="0"/>
              </w:numPr>
              <w:ind w:firstLine="3120" w:firstLineChars="1300"/>
              <w:rPr>
                <w:rFonts w:hint="default" w:ascii="Times New Roman" w:hAnsi="Times New Roman" w:cs="Times New Roman" w:eastAsiaTheme="minorEastAsia"/>
                <w:sz w:val="24"/>
                <w:szCs w:val="28"/>
                <w:lang w:val="en-US" w:eastAsia="zh-CN"/>
              </w:rPr>
            </w:pPr>
            <w:r>
              <w:rPr>
                <w:rFonts w:hint="default" w:ascii="Times New Roman" w:hAnsi="Times New Roman" w:cs="Times New Roman"/>
                <w:sz w:val="24"/>
                <w:szCs w:val="28"/>
                <w:lang w:eastAsia="zh-CN"/>
              </w:rPr>
              <w:t>表</w:t>
            </w:r>
            <w:r>
              <w:rPr>
                <w:rFonts w:hint="default" w:ascii="Times New Roman" w:hAnsi="Times New Roman" w:cs="Times New Roman"/>
                <w:sz w:val="24"/>
                <w:szCs w:val="28"/>
                <w:lang w:val="en-US" w:eastAsia="zh-CN"/>
              </w:rPr>
              <w:t>7-</w:t>
            </w:r>
            <w:r>
              <w:rPr>
                <w:rFonts w:hint="eastAsia" w:ascii="Times New Roman" w:hAnsi="Times New Roman" w:cs="Times New Roman"/>
                <w:sz w:val="24"/>
                <w:szCs w:val="28"/>
                <w:lang w:val="en-US" w:eastAsia="zh-CN"/>
              </w:rPr>
              <w:t>2-1</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无组织</w:t>
            </w:r>
            <w:r>
              <w:rPr>
                <w:rFonts w:hint="default" w:ascii="Times New Roman" w:hAnsi="Times New Roman" w:cs="Times New Roman"/>
                <w:sz w:val="24"/>
                <w:szCs w:val="28"/>
                <w:lang w:val="en-US" w:eastAsia="zh-CN"/>
              </w:rPr>
              <w:t>废气监测结果</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89"/>
              <w:gridCol w:w="1691"/>
              <w:gridCol w:w="1332"/>
              <w:gridCol w:w="1346"/>
              <w:gridCol w:w="1320"/>
              <w:gridCol w:w="133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blHeader/>
              </w:trPr>
              <w:tc>
                <w:tcPr>
                  <w:tcW w:w="1689" w:type="dxa"/>
                  <w:vMerge w:val="restart"/>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w:t>
                  </w:r>
                  <w:r>
                    <w:rPr>
                      <w:rFonts w:hint="eastAsia" w:ascii="宋体" w:hAnsi="宋体" w:eastAsia="宋体" w:cs="宋体"/>
                      <w:b/>
                      <w:bCs/>
                      <w:sz w:val="21"/>
                      <w:szCs w:val="21"/>
                    </w:rPr>
                    <w:t>点位</w:t>
                  </w:r>
                </w:p>
              </w:tc>
              <w:tc>
                <w:tcPr>
                  <w:tcW w:w="1691" w:type="dxa"/>
                  <w:vMerge w:val="restart"/>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w:t>
                  </w:r>
                  <w:r>
                    <w:rPr>
                      <w:rFonts w:hint="eastAsia" w:ascii="宋体" w:hAnsi="宋体" w:eastAsia="宋体" w:cs="宋体"/>
                      <w:b/>
                      <w:bCs/>
                      <w:sz w:val="21"/>
                      <w:szCs w:val="21"/>
                    </w:rPr>
                    <w:t>日期</w:t>
                  </w:r>
                </w:p>
              </w:tc>
              <w:tc>
                <w:tcPr>
                  <w:tcW w:w="1332"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检测项目</w:t>
                  </w:r>
                </w:p>
              </w:tc>
              <w:tc>
                <w:tcPr>
                  <w:tcW w:w="3996" w:type="dxa"/>
                  <w:gridSpan w:val="3"/>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检测结果</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blHeader/>
              </w:trPr>
              <w:tc>
                <w:tcPr>
                  <w:tcW w:w="1689" w:type="dxa"/>
                  <w:vMerge w:val="continue"/>
                  <w:tcBorders>
                    <w:tl2br w:val="nil"/>
                    <w:tr2bl w:val="nil"/>
                  </w:tcBorders>
                  <w:vAlign w:val="center"/>
                </w:tcPr>
                <w:p>
                  <w:pPr>
                    <w:jc w:val="center"/>
                    <w:rPr>
                      <w:rFonts w:hint="eastAsia" w:ascii="宋体" w:hAnsi="宋体" w:eastAsia="宋体" w:cs="宋体"/>
                      <w:b/>
                      <w:bCs/>
                      <w:sz w:val="21"/>
                      <w:szCs w:val="21"/>
                    </w:rPr>
                  </w:pPr>
                </w:p>
              </w:tc>
              <w:tc>
                <w:tcPr>
                  <w:tcW w:w="1691" w:type="dxa"/>
                  <w:vMerge w:val="continue"/>
                  <w:tcBorders>
                    <w:tl2br w:val="nil"/>
                    <w:tr2bl w:val="nil"/>
                  </w:tcBorders>
                  <w:vAlign w:val="center"/>
                </w:tcPr>
                <w:p>
                  <w:pPr>
                    <w:jc w:val="center"/>
                    <w:rPr>
                      <w:rFonts w:hint="eastAsia" w:ascii="宋体" w:hAnsi="宋体" w:eastAsia="宋体" w:cs="宋体"/>
                      <w:b/>
                      <w:bCs/>
                      <w:sz w:val="21"/>
                      <w:szCs w:val="21"/>
                    </w:rPr>
                  </w:pPr>
                </w:p>
              </w:tc>
              <w:tc>
                <w:tcPr>
                  <w:tcW w:w="1332" w:type="dxa"/>
                  <w:vMerge w:val="continue"/>
                  <w:tcBorders>
                    <w:tl2br w:val="nil"/>
                    <w:tr2bl w:val="nil"/>
                  </w:tcBorders>
                  <w:vAlign w:val="center"/>
                </w:tcPr>
                <w:p>
                  <w:pPr>
                    <w:jc w:val="center"/>
                    <w:rPr>
                      <w:rFonts w:hint="eastAsia" w:ascii="宋体" w:hAnsi="宋体" w:eastAsia="宋体" w:cs="宋体"/>
                      <w:b/>
                      <w:bCs/>
                      <w:sz w:val="21"/>
                      <w:szCs w:val="21"/>
                    </w:rPr>
                  </w:pPr>
                </w:p>
              </w:tc>
              <w:tc>
                <w:tcPr>
                  <w:tcW w:w="1346" w:type="dxa"/>
                  <w:tcBorders>
                    <w:tl2br w:val="nil"/>
                    <w:tr2bl w:val="nil"/>
                  </w:tcBorders>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第一次</w:t>
                  </w:r>
                </w:p>
              </w:tc>
              <w:tc>
                <w:tcPr>
                  <w:tcW w:w="1320" w:type="dxa"/>
                  <w:tcBorders>
                    <w:tl2br w:val="nil"/>
                    <w:tr2bl w:val="nil"/>
                  </w:tcBorders>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第二次</w:t>
                  </w:r>
                </w:p>
              </w:tc>
              <w:tc>
                <w:tcPr>
                  <w:tcW w:w="1330" w:type="dxa"/>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第三次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项目上风向</w:t>
                  </w:r>
                  <w:r>
                    <w:rPr>
                      <w:rFonts w:hint="default" w:ascii="Times New Roman" w:hAnsi="Times New Roman" w:eastAsia="宋体" w:cs="Times New Roman"/>
                      <w:sz w:val="21"/>
                      <w:szCs w:val="21"/>
                      <w:lang w:val="en-US" w:eastAsia="zh-CN"/>
                    </w:rPr>
                    <w:t>15m1#</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0.092</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0.085</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0.074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0.089</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0.092</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10m2#</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0.107</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0.113</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0.113</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0.105</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10m3#</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0.095</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0.102</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0.113</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0.108</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10m4#</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0.119</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0.115</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2" w:hRule="atLeast"/>
              </w:trPr>
              <w:tc>
                <w:tcPr>
                  <w:tcW w:w="1689" w:type="dxa"/>
                  <w:vMerge w:val="continue"/>
                  <w:tcBorders>
                    <w:tl2br w:val="nil"/>
                    <w:tr2bl w:val="nil"/>
                  </w:tcBorders>
                  <w:vAlign w:val="center"/>
                </w:tcPr>
                <w:p>
                  <w:pPr>
                    <w:jc w:val="center"/>
                    <w:rPr>
                      <w:rFonts w:hint="eastAsia" w:ascii="宋体" w:hAnsi="宋体" w:eastAsia="宋体" w:cs="宋体"/>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0.106</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0.112</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0.117</w:t>
                  </w:r>
                </w:p>
              </w:tc>
            </w:tr>
          </w:tbl>
          <w:p>
            <w:pPr>
              <w:spacing w:line="360" w:lineRule="auto"/>
              <w:ind w:firstLine="480" w:firstLineChars="200"/>
              <w:rPr>
                <w:rFonts w:hint="default" w:ascii="新宋体" w:hAnsi="新宋体" w:eastAsia="新宋体" w:cs="新宋体"/>
                <w:bCs/>
                <w:sz w:val="24"/>
                <w:lang w:val="en-US" w:eastAsia="zh-CN"/>
              </w:rPr>
            </w:pPr>
            <w:r>
              <w:rPr>
                <w:rFonts w:hint="eastAsia" w:cs="Times New Roman"/>
                <w:sz w:val="24"/>
                <w:lang w:eastAsia="zh-CN"/>
              </w:rPr>
              <w:t>由</w:t>
            </w:r>
            <w:r>
              <w:rPr>
                <w:rFonts w:hint="default" w:ascii="Times New Roman" w:hAnsi="Times New Roman" w:cs="Times New Roman"/>
                <w:sz w:val="24"/>
              </w:rPr>
              <w:t>监测结果可</w:t>
            </w:r>
            <w:r>
              <w:rPr>
                <w:rFonts w:hint="eastAsia" w:cs="Times New Roman"/>
                <w:sz w:val="24"/>
                <w:lang w:eastAsia="zh-CN"/>
              </w:rPr>
              <w:t>知</w:t>
            </w:r>
            <w:r>
              <w:rPr>
                <w:rFonts w:hint="default" w:ascii="Times New Roman" w:hAnsi="Times New Roman" w:cs="Times New Roman"/>
                <w:sz w:val="24"/>
              </w:rPr>
              <w:t>，</w:t>
            </w:r>
            <w:r>
              <w:rPr>
                <w:rFonts w:hint="default" w:ascii="Times New Roman" w:hAnsi="Times New Roman" w:cs="Times New Roman"/>
                <w:sz w:val="24"/>
                <w:lang w:eastAsia="zh-CN"/>
              </w:rPr>
              <w:t>本项</w:t>
            </w:r>
            <w:r>
              <w:rPr>
                <w:rFonts w:hint="eastAsia" w:cs="Times New Roman"/>
                <w:sz w:val="24"/>
                <w:lang w:eastAsia="zh-CN"/>
              </w:rPr>
              <w:t>目厂界处颗粒物最高排放浓度为</w:t>
            </w:r>
            <w:r>
              <w:rPr>
                <w:rFonts w:hint="eastAsia" w:cs="Times New Roman"/>
                <w:sz w:val="24"/>
                <w:lang w:val="en-US" w:eastAsia="zh-CN"/>
              </w:rPr>
              <w:t>0.119mg/m</w:t>
            </w:r>
            <w:r>
              <w:rPr>
                <w:rFonts w:hint="eastAsia" w:cs="Times New Roman"/>
                <w:sz w:val="24"/>
                <w:vertAlign w:val="superscript"/>
                <w:lang w:val="en-US" w:eastAsia="zh-CN"/>
              </w:rPr>
              <w:t>3</w:t>
            </w:r>
            <w:r>
              <w:rPr>
                <w:rFonts w:hint="eastAsia" w:cs="Times New Roman"/>
                <w:sz w:val="24"/>
                <w:lang w:val="en-US" w:eastAsia="zh-CN"/>
              </w:rPr>
              <w:t>，监控点与对照点的浓度最大差值为0.045mg/m</w:t>
            </w:r>
            <w:r>
              <w:rPr>
                <w:rFonts w:hint="eastAsia" w:cs="Times New Roman"/>
                <w:sz w:val="24"/>
                <w:vertAlign w:val="superscript"/>
                <w:lang w:val="en-US" w:eastAsia="zh-CN"/>
              </w:rPr>
              <w:t>3</w:t>
            </w:r>
            <w:r>
              <w:rPr>
                <w:rFonts w:hint="eastAsia" w:cs="Times New Roman"/>
                <w:sz w:val="24"/>
                <w:lang w:val="en-US" w:eastAsia="zh-CN"/>
              </w:rPr>
              <w:t>；污染因子排放浓度可以满足GB16297-1996《大气污染物综合排放标准》中无组织排放标准限值要求</w:t>
            </w:r>
            <w:r>
              <w:rPr>
                <w:rFonts w:hint="eastAsia" w:cs="Times New Roman" w:eastAsiaTheme="minorEastAsia"/>
                <w:sz w:val="24"/>
                <w:vertAlign w:val="baseline"/>
                <w:lang w:val="en-US" w:eastAsia="zh-CN"/>
              </w:rPr>
              <w:t>。（颗粒物：1.0mg/m</w:t>
            </w:r>
            <w:r>
              <w:rPr>
                <w:rFonts w:hint="eastAsia" w:cs="Times New Roman" w:eastAsiaTheme="minorEastAsia"/>
                <w:sz w:val="24"/>
                <w:vertAlign w:val="superscript"/>
                <w:lang w:val="en-US" w:eastAsia="zh-CN"/>
              </w:rPr>
              <w:t>3</w:t>
            </w:r>
            <w:r>
              <w:rPr>
                <w:rFonts w:hint="eastAsia" w:cs="Times New Roman" w:eastAsiaTheme="minorEastAsia"/>
                <w:sz w:val="24"/>
                <w:vertAlign w:val="baseline"/>
                <w:lang w:val="en-US" w:eastAsia="zh-CN"/>
              </w:rPr>
              <w:t>）</w:t>
            </w:r>
          </w:p>
          <w:p>
            <w:pPr>
              <w:spacing w:line="360" w:lineRule="auto"/>
              <w:ind w:firstLine="48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②有组织</w:t>
            </w:r>
          </w:p>
          <w:p>
            <w:pPr>
              <w:pStyle w:val="22"/>
              <w:numPr>
                <w:ilvl w:val="0"/>
                <w:numId w:val="0"/>
              </w:numPr>
              <w:ind w:firstLine="3120" w:firstLineChars="1300"/>
              <w:rPr>
                <w:rFonts w:hint="default" w:ascii="Times New Roman" w:hAnsi="Times New Roman" w:cs="Times New Roman" w:eastAsiaTheme="minorEastAsia"/>
                <w:sz w:val="24"/>
                <w:szCs w:val="28"/>
                <w:lang w:val="en-US" w:eastAsia="zh-CN"/>
              </w:rPr>
            </w:pPr>
            <w:r>
              <w:rPr>
                <w:rFonts w:hint="default" w:ascii="Times New Roman" w:hAnsi="Times New Roman" w:cs="Times New Roman"/>
                <w:sz w:val="24"/>
                <w:szCs w:val="28"/>
                <w:lang w:eastAsia="zh-CN"/>
              </w:rPr>
              <w:t>表</w:t>
            </w:r>
            <w:r>
              <w:rPr>
                <w:rFonts w:hint="default" w:ascii="Times New Roman" w:hAnsi="Times New Roman" w:cs="Times New Roman"/>
                <w:sz w:val="24"/>
                <w:szCs w:val="28"/>
                <w:lang w:val="en-US" w:eastAsia="zh-CN"/>
              </w:rPr>
              <w:t>7-</w:t>
            </w:r>
            <w:r>
              <w:rPr>
                <w:rFonts w:hint="eastAsia" w:ascii="Times New Roman" w:hAnsi="Times New Roman" w:cs="Times New Roman"/>
                <w:sz w:val="24"/>
                <w:szCs w:val="28"/>
                <w:lang w:val="en-US" w:eastAsia="zh-CN"/>
              </w:rPr>
              <w:t>2-2</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有机</w:t>
            </w:r>
            <w:r>
              <w:rPr>
                <w:rFonts w:hint="default" w:ascii="Times New Roman" w:hAnsi="Times New Roman" w:cs="Times New Roman"/>
                <w:sz w:val="24"/>
                <w:szCs w:val="28"/>
                <w:lang w:val="en-US" w:eastAsia="zh-CN"/>
              </w:rPr>
              <w:t>废气监测结果</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0"/>
              <w:gridCol w:w="1170"/>
              <w:gridCol w:w="1650"/>
              <w:gridCol w:w="1605"/>
              <w:gridCol w:w="1633"/>
              <w:gridCol w:w="95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blHeader/>
              </w:trPr>
              <w:tc>
                <w:tcPr>
                  <w:tcW w:w="1700" w:type="dxa"/>
                  <w:vMerge w:val="restart"/>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pict>
                      <v:line id="_x0000_s2116" o:spid="_x0000_s2116" o:spt="20" style="position:absolute;left:0pt;margin-left:-4.6pt;margin-top:-0.25pt;height:46.45pt;width:79.95pt;z-index:251706368;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eastAsia="zh-CN"/>
                    </w:rPr>
                    <w:t>检测点位</w:t>
                  </w:r>
                </w:p>
                <w:p>
                  <w:pPr>
                    <w:jc w:val="both"/>
                    <w:rPr>
                      <w:rFonts w:hint="default" w:ascii="Times New Roman" w:hAnsi="Times New Roman" w:eastAsia="宋体" w:cs="Times New Roman"/>
                      <w:b/>
                      <w:bCs/>
                      <w:sz w:val="21"/>
                      <w:szCs w:val="21"/>
                      <w:lang w:eastAsia="zh-CN"/>
                    </w:rPr>
                  </w:pPr>
                </w:p>
                <w:p>
                  <w:pPr>
                    <w:jc w:val="both"/>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检测项目</w:t>
                  </w:r>
                </w:p>
              </w:tc>
              <w:tc>
                <w:tcPr>
                  <w:tcW w:w="117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p>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时间</w:t>
                  </w:r>
                </w:p>
              </w:tc>
              <w:tc>
                <w:tcPr>
                  <w:tcW w:w="4888" w:type="dxa"/>
                  <w:gridSpan w:val="3"/>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G1</w:t>
                  </w:r>
                </w:p>
              </w:tc>
              <w:tc>
                <w:tcPr>
                  <w:tcW w:w="95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单位</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8" w:hRule="atLeast"/>
                <w:tblHeader/>
              </w:trPr>
              <w:tc>
                <w:tcPr>
                  <w:tcW w:w="170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50"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第一次</w:t>
                  </w:r>
                </w:p>
              </w:tc>
              <w:tc>
                <w:tcPr>
                  <w:tcW w:w="1605"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第二次</w:t>
                  </w:r>
                </w:p>
              </w:tc>
              <w:tc>
                <w:tcPr>
                  <w:tcW w:w="1633"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第三次</w:t>
                  </w:r>
                </w:p>
              </w:tc>
              <w:tc>
                <w:tcPr>
                  <w:tcW w:w="950"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烟气量</w:t>
                  </w:r>
                </w:p>
              </w:tc>
              <w:tc>
                <w:tcPr>
                  <w:tcW w:w="1170" w:type="dxa"/>
                  <w:vMerge w:val="restar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color w:val="000000" w:themeColor="text1"/>
                      <w:sz w:val="21"/>
                      <w:szCs w:val="21"/>
                      <w:highlight w:val="none"/>
                      <w:lang w:val="en-US" w:eastAsia="zh-CN"/>
                    </w:rPr>
                    <w:t>2021.4.19</w:t>
                  </w: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2310</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23</w:t>
                  </w:r>
                  <w:r>
                    <w:rPr>
                      <w:rFonts w:hint="eastAsia" w:cs="Times New Roman"/>
                      <w:sz w:val="21"/>
                      <w:szCs w:val="21"/>
                      <w:lang w:val="en-US" w:eastAsia="zh-CN"/>
                    </w:rPr>
                    <w:t>08</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22</w:t>
                  </w:r>
                  <w:r>
                    <w:rPr>
                      <w:rFonts w:hint="eastAsia" w:cs="Times New Roman"/>
                      <w:sz w:val="21"/>
                      <w:szCs w:val="21"/>
                      <w:lang w:val="en-US" w:eastAsia="zh-CN"/>
                    </w:rPr>
                    <w:t>96</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m³/h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非甲烷总烃</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0.19</w:t>
                  </w:r>
                </w:p>
              </w:tc>
              <w:tc>
                <w:tcPr>
                  <w:tcW w:w="160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0.20</w:t>
                  </w:r>
                </w:p>
              </w:tc>
              <w:tc>
                <w:tcPr>
                  <w:tcW w:w="1633"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0.17</w:t>
                  </w:r>
                </w:p>
              </w:tc>
              <w:tc>
                <w:tcPr>
                  <w:tcW w:w="95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kern w:val="0"/>
                      <w:sz w:val="21"/>
                      <w:szCs w:val="21"/>
                      <w:lang w:val="en-US" w:eastAsia="zh-CN"/>
                    </w:rPr>
                    <w:t>mg/m</w:t>
                  </w:r>
                  <w:r>
                    <w:rPr>
                      <w:rFonts w:hint="default" w:ascii="Times New Roman" w:hAnsi="Times New Roman" w:eastAsia="宋体" w:cs="Times New Roman"/>
                      <w:b w:val="0"/>
                      <w:bCs w:val="0"/>
                      <w:kern w:val="0"/>
                      <w:sz w:val="21"/>
                      <w:szCs w:val="21"/>
                      <w:vertAlign w:val="superscript"/>
                      <w:lang w:val="en-US" w:eastAsia="zh-CN"/>
                    </w:rPr>
                    <w:t>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eastAsia="zh-CN"/>
                    </w:rPr>
                  </w:pPr>
                  <w:r>
                    <w:rPr>
                      <w:rFonts w:hint="eastAsia" w:eastAsia="宋体" w:cs="Times New Roman"/>
                      <w:b w:val="0"/>
                      <w:bCs w:val="0"/>
                      <w:color w:val="000000" w:themeColor="text1"/>
                      <w:sz w:val="21"/>
                      <w:szCs w:val="21"/>
                      <w:lang w:eastAsia="zh-CN"/>
                    </w:rPr>
                    <w:t>排放速率</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0.0003</w:t>
                  </w:r>
                </w:p>
              </w:tc>
              <w:tc>
                <w:tcPr>
                  <w:tcW w:w="1605" w:type="dxa"/>
                  <w:tcBorders>
                    <w:tl2br w:val="nil"/>
                    <w:tr2bl w:val="nil"/>
                  </w:tcBorders>
                  <w:vAlign w:val="center"/>
                </w:tcPr>
                <w:p>
                  <w:pPr>
                    <w:jc w:val="center"/>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0.0003</w:t>
                  </w:r>
                </w:p>
              </w:tc>
              <w:tc>
                <w:tcPr>
                  <w:tcW w:w="1633" w:type="dxa"/>
                  <w:tcBorders>
                    <w:tl2br w:val="nil"/>
                    <w:tr2bl w:val="nil"/>
                  </w:tcBorders>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0.0002</w:t>
                  </w:r>
                </w:p>
              </w:tc>
              <w:tc>
                <w:tcPr>
                  <w:tcW w:w="950" w:type="dxa"/>
                  <w:tcBorders>
                    <w:tl2br w:val="nil"/>
                    <w:tr2bl w:val="nil"/>
                  </w:tcBorders>
                  <w:vAlign w:val="center"/>
                </w:tcPr>
                <w:p>
                  <w:pPr>
                    <w:jc w:val="center"/>
                    <w:rPr>
                      <w:rFonts w:hint="default" w:ascii="Times New Roman" w:hAnsi="Times New Roman"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kg/h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烟气量</w:t>
                  </w:r>
                </w:p>
              </w:tc>
              <w:tc>
                <w:tcPr>
                  <w:tcW w:w="1170" w:type="dxa"/>
                  <w:vMerge w:val="restar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color w:val="000000" w:themeColor="text1"/>
                      <w:sz w:val="21"/>
                      <w:szCs w:val="21"/>
                      <w:highlight w:val="none"/>
                      <w:lang w:val="en-US" w:eastAsia="zh-CN"/>
                    </w:rPr>
                    <w:t>2021.4.20</w:t>
                  </w: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2287</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2354</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2327</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m³/h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b w:val="0"/>
                      <w:bCs w:val="0"/>
                      <w:color w:val="000000" w:themeColor="text1"/>
                      <w:sz w:val="21"/>
                      <w:szCs w:val="21"/>
                      <w:lang w:eastAsia="zh-CN"/>
                    </w:rPr>
                    <w:t>非甲烷总烃</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0.13</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0.18</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0.21</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rPr>
                    <w:t>mg/m</w:t>
                  </w:r>
                  <w:r>
                    <w:rPr>
                      <w:rFonts w:hint="default" w:ascii="Times New Roman" w:hAnsi="Times New Roman" w:eastAsia="宋体" w:cs="Times New Roman"/>
                      <w:b w:val="0"/>
                      <w:bCs w:val="0"/>
                      <w:kern w:val="0"/>
                      <w:sz w:val="21"/>
                      <w:szCs w:val="21"/>
                      <w:vertAlign w:val="superscript"/>
                      <w:lang w:val="en-US" w:eastAsia="zh-CN"/>
                    </w:rPr>
                    <w:t>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eastAsia="zh-CN"/>
                    </w:rPr>
                  </w:pPr>
                  <w:r>
                    <w:rPr>
                      <w:rFonts w:hint="eastAsia" w:eastAsia="宋体" w:cs="Times New Roman"/>
                      <w:b w:val="0"/>
                      <w:bCs w:val="0"/>
                      <w:color w:val="000000" w:themeColor="text1"/>
                      <w:sz w:val="21"/>
                      <w:szCs w:val="21"/>
                      <w:lang w:eastAsia="zh-CN"/>
                    </w:rPr>
                    <w:t>排放速率</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0.0002</w:t>
                  </w:r>
                </w:p>
              </w:tc>
              <w:tc>
                <w:tcPr>
                  <w:tcW w:w="1605"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0.0004</w:t>
                  </w:r>
                </w:p>
              </w:tc>
              <w:tc>
                <w:tcPr>
                  <w:tcW w:w="1633"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0.0003</w:t>
                  </w:r>
                </w:p>
              </w:tc>
              <w:tc>
                <w:tcPr>
                  <w:tcW w:w="950" w:type="dxa"/>
                  <w:tcBorders>
                    <w:tl2br w:val="nil"/>
                    <w:tr2bl w:val="nil"/>
                  </w:tcBorders>
                  <w:vAlign w:val="center"/>
                </w:tcPr>
                <w:p>
                  <w:pPr>
                    <w:jc w:val="center"/>
                    <w:rPr>
                      <w:rFonts w:hint="default" w:ascii="Times New Roman" w:hAnsi="Times New Roman"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kg/h</w:t>
                  </w:r>
                </w:p>
              </w:tc>
            </w:tr>
          </w:tbl>
          <w:p>
            <w:pPr>
              <w:spacing w:line="360" w:lineRule="auto"/>
              <w:ind w:firstLine="480" w:firstLineChars="200"/>
              <w:rPr>
                <w:rFonts w:hint="default" w:cs="Times New Roman" w:eastAsiaTheme="minorEastAsia"/>
                <w:sz w:val="24"/>
                <w:vertAlign w:val="baseline"/>
                <w:lang w:val="en-US" w:eastAsia="zh-CN"/>
              </w:rPr>
            </w:pPr>
            <w:r>
              <w:rPr>
                <w:rFonts w:hint="default" w:ascii="Times New Roman" w:hAnsi="Times New Roman" w:cs="Times New Roman"/>
                <w:sz w:val="24"/>
              </w:rPr>
              <w:t>从监测结果可以看出，</w:t>
            </w:r>
            <w:r>
              <w:rPr>
                <w:rFonts w:hint="default" w:ascii="Times New Roman" w:hAnsi="Times New Roman" w:cs="Times New Roman"/>
                <w:sz w:val="24"/>
                <w:lang w:eastAsia="zh-CN"/>
              </w:rPr>
              <w:t>本项</w:t>
            </w:r>
            <w:r>
              <w:rPr>
                <w:rFonts w:hint="eastAsia" w:cs="Times New Roman"/>
                <w:sz w:val="24"/>
                <w:lang w:eastAsia="zh-CN"/>
              </w:rPr>
              <w:t>目</w:t>
            </w:r>
            <w:r>
              <w:rPr>
                <w:rFonts w:hint="eastAsia" w:ascii="宋体" w:hAnsi="宋体" w:eastAsia="宋体" w:cs="宋体"/>
                <w:color w:val="auto"/>
                <w:sz w:val="24"/>
                <w:szCs w:val="22"/>
                <w:lang w:val="en-US" w:eastAsia="zh-CN"/>
              </w:rPr>
              <w:t>胶合废气</w:t>
            </w:r>
            <w:r>
              <w:rPr>
                <w:rFonts w:hint="eastAsia" w:cs="Times New Roman"/>
                <w:sz w:val="24"/>
                <w:lang w:val="en-US" w:eastAsia="zh-CN"/>
              </w:rPr>
              <w:t>G1排气筒中</w:t>
            </w:r>
            <w:r>
              <w:rPr>
                <w:rFonts w:hint="eastAsia" w:cs="Times New Roman"/>
                <w:sz w:val="24"/>
                <w:lang w:eastAsia="zh-CN"/>
              </w:rPr>
              <w:t>非甲烷总烃浓度最高值为</w:t>
            </w:r>
            <w:r>
              <w:rPr>
                <w:rFonts w:hint="eastAsia" w:cs="Times New Roman"/>
                <w:sz w:val="24"/>
                <w:lang w:val="en-US" w:eastAsia="zh-CN"/>
              </w:rPr>
              <w:t>0.21mg/m</w:t>
            </w:r>
            <w:r>
              <w:rPr>
                <w:rFonts w:hint="eastAsia" w:cs="Times New Roman"/>
                <w:sz w:val="24"/>
                <w:vertAlign w:val="superscript"/>
                <w:lang w:val="en-US" w:eastAsia="zh-CN"/>
              </w:rPr>
              <w:t>3</w:t>
            </w:r>
            <w:r>
              <w:rPr>
                <w:rFonts w:hint="eastAsia" w:cs="Times New Roman"/>
                <w:sz w:val="24"/>
                <w:lang w:val="en-US" w:eastAsia="zh-CN"/>
              </w:rPr>
              <w:t>，最高排放速率为0.0004kg/h，</w:t>
            </w:r>
            <w:r>
              <w:rPr>
                <w:rFonts w:hint="eastAsia" w:cs="Times New Roman" w:eastAsiaTheme="minorEastAsia"/>
                <w:sz w:val="24"/>
                <w:lang w:val="en-US" w:eastAsia="zh-CN"/>
              </w:rPr>
              <w:t>污染因子排放浓度和排放速率均可以</w:t>
            </w:r>
            <w:r>
              <w:rPr>
                <w:rFonts w:hint="default" w:ascii="Times New Roman" w:hAnsi="Times New Roman" w:cs="Times New Roman" w:eastAsiaTheme="minorEastAsia"/>
                <w:sz w:val="24"/>
                <w:lang w:val="en-US" w:eastAsia="zh-CN"/>
              </w:rPr>
              <w:t>满足《</w:t>
            </w:r>
            <w:r>
              <w:rPr>
                <w:rFonts w:hint="eastAsia" w:cs="Times New Roman" w:eastAsiaTheme="minorEastAsia"/>
                <w:sz w:val="24"/>
                <w:lang w:val="en-US" w:eastAsia="zh-CN"/>
              </w:rPr>
              <w:t>大气污染物综合</w:t>
            </w:r>
            <w:r>
              <w:rPr>
                <w:rFonts w:hint="default" w:ascii="Times New Roman" w:hAnsi="Times New Roman" w:cs="Times New Roman" w:eastAsiaTheme="minorEastAsia"/>
                <w:sz w:val="24"/>
                <w:lang w:val="en-US" w:eastAsia="zh-CN"/>
              </w:rPr>
              <w:t>排放标准》（GB</w:t>
            </w:r>
            <w:r>
              <w:rPr>
                <w:rFonts w:hint="eastAsia" w:cs="Times New Roman" w:eastAsiaTheme="minorEastAsia"/>
                <w:sz w:val="24"/>
                <w:lang w:val="en-US" w:eastAsia="zh-CN"/>
              </w:rPr>
              <w:t>16297-1996</w:t>
            </w:r>
            <w:r>
              <w:rPr>
                <w:rFonts w:hint="default" w:ascii="Times New Roman" w:hAnsi="Times New Roman" w:cs="Times New Roman" w:eastAsiaTheme="minorEastAsia"/>
                <w:sz w:val="24"/>
                <w:lang w:val="en-US" w:eastAsia="zh-CN"/>
              </w:rPr>
              <w:t>）中二级排放标准要求</w:t>
            </w:r>
            <w:r>
              <w:rPr>
                <w:rFonts w:hint="eastAsia" w:cs="Times New Roman" w:eastAsiaTheme="minorEastAsia"/>
                <w:sz w:val="24"/>
                <w:vertAlign w:val="baseline"/>
                <w:lang w:val="en-US" w:eastAsia="zh-CN"/>
              </w:rPr>
              <w:t>。（非甲烷总烃：120mg/m</w:t>
            </w:r>
            <w:r>
              <w:rPr>
                <w:rFonts w:hint="eastAsia" w:cs="Times New Roman" w:eastAsiaTheme="minorEastAsia"/>
                <w:sz w:val="24"/>
                <w:vertAlign w:val="superscript"/>
                <w:lang w:val="en-US" w:eastAsia="zh-CN"/>
              </w:rPr>
              <w:t>3</w:t>
            </w:r>
            <w:r>
              <w:rPr>
                <w:rFonts w:hint="eastAsia" w:cs="Times New Roman" w:eastAsiaTheme="minorEastAsia"/>
                <w:sz w:val="24"/>
                <w:vertAlign w:val="baseline"/>
                <w:lang w:val="en-US" w:eastAsia="zh-CN"/>
              </w:rPr>
              <w:t>、10kg/h）</w:t>
            </w:r>
          </w:p>
          <w:p>
            <w:pPr>
              <w:spacing w:line="360" w:lineRule="auto"/>
              <w:ind w:firstLine="480"/>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2、</w:t>
            </w:r>
            <w:r>
              <w:rPr>
                <w:rFonts w:hint="default" w:ascii="Times New Roman" w:hAnsi="Times New Roman" w:cs="Times New Roman"/>
                <w:sz w:val="24"/>
                <w:lang w:eastAsia="zh-CN"/>
              </w:rPr>
              <w:t>废水</w:t>
            </w:r>
          </w:p>
          <w:p>
            <w:pPr>
              <w:spacing w:line="360" w:lineRule="auto"/>
              <w:ind w:firstLine="480"/>
              <w:rPr>
                <w:rFonts w:hint="default" w:ascii="Times New Roman" w:hAnsi="Times New Roman" w:eastAsia="宋体" w:cs="Times New Roman"/>
                <w:color w:val="auto"/>
                <w:sz w:val="24"/>
                <w:lang w:eastAsia="zh-CN"/>
              </w:rPr>
            </w:pPr>
            <w:r>
              <w:rPr>
                <w:rFonts w:hint="eastAsia" w:cs="Times New Roman"/>
                <w:b w:val="0"/>
                <w:bCs/>
                <w:color w:val="auto"/>
                <w:spacing w:val="-6"/>
                <w:sz w:val="24"/>
                <w:szCs w:val="24"/>
                <w:lang w:eastAsia="zh-CN"/>
              </w:rPr>
              <w:t>本项目生产不用水，无生产废水排放，所排废水主要为生活污水，</w:t>
            </w:r>
            <w:r>
              <w:rPr>
                <w:rFonts w:hint="eastAsia" w:hAnsi="宋体"/>
                <w:bCs/>
                <w:sz w:val="24"/>
                <w:szCs w:val="24"/>
                <w:lang w:eastAsia="zh-CN"/>
              </w:rPr>
              <w:t>生活污水不含有化学物质，不含有有毒有害、重金属等杂质，化学性质稳定，结构简单，各项污染因子浓度较低，属于较清洁下水</w:t>
            </w:r>
            <w:r>
              <w:rPr>
                <w:rFonts w:hint="eastAsia" w:cs="Times New Roman"/>
                <w:b w:val="0"/>
                <w:bCs/>
                <w:color w:val="auto"/>
                <w:spacing w:val="-6"/>
                <w:sz w:val="24"/>
                <w:szCs w:val="24"/>
                <w:lang w:eastAsia="zh-CN"/>
              </w:rPr>
              <w:t>，全部排入企业自建防渗旱厕，定期清掏，用作农家肥</w:t>
            </w:r>
            <w:r>
              <w:rPr>
                <w:rFonts w:hint="default" w:ascii="Times New Roman" w:hAnsi="Times New Roman" w:cs="Times New Roman"/>
                <w:b w:val="0"/>
                <w:bCs/>
                <w:color w:val="auto"/>
                <w:spacing w:val="-6"/>
                <w:sz w:val="24"/>
                <w:szCs w:val="24"/>
                <w:lang w:eastAsia="zh-CN"/>
              </w:rPr>
              <w:t>。</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、噪声</w:t>
            </w:r>
          </w:p>
          <w:p>
            <w:pPr>
              <w:spacing w:line="240" w:lineRule="atLeast"/>
              <w:ind w:firstLine="2400" w:firstLineChars="1000"/>
              <w:rPr>
                <w:rFonts w:hint="default" w:ascii="Times New Roman" w:hAnsi="Times New Roman" w:cs="Times New Roman"/>
                <w:sz w:val="24"/>
              </w:rPr>
            </w:pPr>
            <w:r>
              <w:rPr>
                <w:rFonts w:hint="default" w:ascii="Times New Roman" w:hAnsi="Times New Roman" w:cs="Times New Roman"/>
                <w:sz w:val="24"/>
              </w:rPr>
              <w:t>表7-</w:t>
            </w:r>
            <w:r>
              <w:rPr>
                <w:rFonts w:hint="eastAsia" w:cs="Times New Roman"/>
                <w:sz w:val="24"/>
                <w:lang w:val="en-US" w:eastAsia="zh-CN"/>
              </w:rPr>
              <w:t>3</w:t>
            </w:r>
            <w:r>
              <w:rPr>
                <w:rFonts w:hint="default" w:ascii="Times New Roman" w:hAnsi="Times New Roman" w:cs="Times New Roman"/>
                <w:sz w:val="24"/>
              </w:rPr>
              <w:t xml:space="preserve">  噪声监测结果表    单位：d B(A)</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00"/>
              <w:gridCol w:w="1490"/>
              <w:gridCol w:w="1146"/>
              <w:gridCol w:w="1528"/>
              <w:gridCol w:w="134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点位</w:t>
                  </w:r>
                  <w:r>
                    <w:rPr>
                      <w:rFonts w:hint="default" w:ascii="Times New Roman" w:hAnsi="Times New Roman" w:eastAsia="宋体" w:cs="Times New Roman"/>
                      <w:b/>
                      <w:bCs/>
                      <w:sz w:val="21"/>
                      <w:szCs w:val="21"/>
                      <w:lang w:eastAsia="zh-CN"/>
                    </w:rPr>
                    <w:t>编号及位置</w:t>
                  </w:r>
                </w:p>
              </w:tc>
              <w:tc>
                <w:tcPr>
                  <w:tcW w:w="149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日期</w:t>
                  </w:r>
                </w:p>
              </w:tc>
              <w:tc>
                <w:tcPr>
                  <w:tcW w:w="1146" w:type="dxa"/>
                  <w:vMerge w:val="restar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项目</w:t>
                  </w:r>
                </w:p>
              </w:tc>
              <w:tc>
                <w:tcPr>
                  <w:tcW w:w="2872" w:type="dxa"/>
                  <w:gridSpan w:val="2"/>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检测结果</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490"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528"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昼间</w:t>
                  </w:r>
                </w:p>
              </w:tc>
              <w:tc>
                <w:tcPr>
                  <w:tcW w:w="1344"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厂界东侧1m</w:t>
                  </w:r>
                </w:p>
              </w:tc>
              <w:tc>
                <w:tcPr>
                  <w:tcW w:w="1490"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color w:val="000000" w:themeColor="text1"/>
                      <w:sz w:val="21"/>
                      <w:szCs w:val="21"/>
                      <w:highlight w:val="none"/>
                      <w:lang w:val="en-US" w:eastAsia="zh-CN"/>
                    </w:rPr>
                    <w:t>2021.4.19</w:t>
                  </w:r>
                </w:p>
              </w:tc>
              <w:tc>
                <w:tcPr>
                  <w:tcW w:w="1146"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噪声</w:t>
                  </w: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56</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56</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厂界西侧1m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57</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9</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59</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厂界东侧1m</w:t>
                  </w:r>
                </w:p>
              </w:tc>
              <w:tc>
                <w:tcPr>
                  <w:tcW w:w="1490"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color w:val="000000" w:themeColor="text1"/>
                      <w:sz w:val="21"/>
                      <w:szCs w:val="21"/>
                      <w:highlight w:val="none"/>
                      <w:lang w:val="en-US" w:eastAsia="zh-CN"/>
                    </w:rPr>
                    <w:t>2021.4.20</w:t>
                  </w: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57</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厂界西侧1m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9</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57</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w:t>
                  </w:r>
                </w:p>
              </w:tc>
            </w:tr>
          </w:tbl>
          <w:p>
            <w:pPr>
              <w:spacing w:before="62" w:beforeLines="20"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从噪声监测结果可以看出，</w:t>
            </w:r>
            <w:r>
              <w:rPr>
                <w:rFonts w:hint="default" w:ascii="Times New Roman" w:hAnsi="Times New Roman" w:eastAsia="宋体" w:cs="Times New Roman"/>
                <w:sz w:val="24"/>
                <w:lang w:val="en-US" w:eastAsia="zh-CN"/>
              </w:rPr>
              <w:t>本项目噪声排放值为昼间：</w:t>
            </w:r>
            <w:r>
              <w:rPr>
                <w:rFonts w:hint="eastAsia" w:cs="Times New Roman"/>
                <w:sz w:val="24"/>
                <w:lang w:val="en-US" w:eastAsia="zh-CN"/>
              </w:rPr>
              <w:t>55</w:t>
            </w:r>
            <w:r>
              <w:rPr>
                <w:rFonts w:hint="default" w:ascii="Times New Roman" w:hAnsi="Times New Roman" w:eastAsia="宋体" w:cs="Times New Roman"/>
                <w:sz w:val="24"/>
                <w:lang w:val="en-US" w:eastAsia="zh-CN"/>
              </w:rPr>
              <w:t>-5</w:t>
            </w:r>
            <w:r>
              <w:rPr>
                <w:rFonts w:hint="eastAsia" w:cs="Times New Roman"/>
                <w:sz w:val="24"/>
                <w:lang w:val="en-US" w:eastAsia="zh-CN"/>
              </w:rPr>
              <w:t>9</w:t>
            </w:r>
            <w:r>
              <w:rPr>
                <w:rFonts w:hint="default" w:ascii="Times New Roman" w:hAnsi="Times New Roman" w:eastAsia="宋体" w:cs="Times New Roman"/>
                <w:sz w:val="24"/>
                <w:lang w:val="en-US" w:eastAsia="zh-CN"/>
              </w:rPr>
              <w:t>dB（A），夜间：</w:t>
            </w:r>
            <w:r>
              <w:rPr>
                <w:rFonts w:hint="default" w:ascii="Times New Roman" w:hAnsi="Times New Roman" w:cs="Times New Roman"/>
                <w:sz w:val="24"/>
                <w:lang w:val="en-US" w:eastAsia="zh-CN"/>
              </w:rPr>
              <w:t>38</w:t>
            </w:r>
            <w:r>
              <w:rPr>
                <w:rFonts w:hint="default" w:ascii="Times New Roman" w:hAnsi="Times New Roman" w:eastAsia="宋体" w:cs="Times New Roman"/>
                <w:sz w:val="24"/>
                <w:lang w:val="en-US" w:eastAsia="zh-CN"/>
              </w:rPr>
              <w:t>-</w:t>
            </w:r>
            <w:r>
              <w:rPr>
                <w:rFonts w:hint="eastAsia" w:cs="Times New Roman"/>
                <w:sz w:val="24"/>
                <w:lang w:val="en-US" w:eastAsia="zh-CN"/>
              </w:rPr>
              <w:t>40</w:t>
            </w:r>
            <w:r>
              <w:rPr>
                <w:rFonts w:hint="default" w:ascii="Times New Roman" w:hAnsi="Times New Roman" w:eastAsia="宋体" w:cs="Times New Roman"/>
                <w:sz w:val="24"/>
                <w:lang w:val="en-US" w:eastAsia="zh-CN"/>
              </w:rPr>
              <w:t>dB（A），可以满足《工业企业厂界环境噪声排放标准》（GB12348-2008）中</w:t>
            </w:r>
            <w:r>
              <w:rPr>
                <w:rFonts w:hint="eastAsia" w:cs="Times New Roman"/>
                <w:sz w:val="24"/>
                <w:lang w:val="en-US" w:eastAsia="zh-CN"/>
              </w:rPr>
              <w:t>2</w:t>
            </w:r>
            <w:r>
              <w:rPr>
                <w:rFonts w:hint="default" w:ascii="Times New Roman" w:hAnsi="Times New Roman" w:eastAsia="宋体" w:cs="Times New Roman"/>
                <w:sz w:val="24"/>
                <w:lang w:val="en-US" w:eastAsia="zh-CN"/>
              </w:rPr>
              <w:t>类排放标准要求</w:t>
            </w:r>
            <w:r>
              <w:rPr>
                <w:rFonts w:hint="default" w:ascii="Times New Roman" w:hAnsi="Times New Roman" w:eastAsia="宋体" w:cs="Times New Roman"/>
                <w:sz w:val="24"/>
              </w:rPr>
              <w:t>。</w:t>
            </w:r>
            <w:r>
              <w:rPr>
                <w:rFonts w:hint="eastAsia" w:cs="Times New Roman"/>
                <w:sz w:val="24"/>
                <w:lang w:eastAsia="zh-CN"/>
              </w:rPr>
              <w:t>（昼间：</w:t>
            </w:r>
            <w:r>
              <w:rPr>
                <w:rFonts w:hint="eastAsia" w:cs="Times New Roman"/>
                <w:sz w:val="24"/>
                <w:lang w:val="en-US" w:eastAsia="zh-CN"/>
              </w:rPr>
              <w:t>60</w:t>
            </w:r>
            <w:r>
              <w:rPr>
                <w:rFonts w:hint="default" w:ascii="Times New Roman" w:hAnsi="Times New Roman" w:eastAsia="宋体" w:cs="Times New Roman"/>
                <w:sz w:val="24"/>
                <w:lang w:val="en-US" w:eastAsia="zh-CN"/>
              </w:rPr>
              <w:t>dB（A）</w:t>
            </w:r>
            <w:r>
              <w:rPr>
                <w:rFonts w:hint="eastAsia" w:cs="Times New Roman"/>
                <w:sz w:val="24"/>
                <w:lang w:val="en-US" w:eastAsia="zh-CN"/>
              </w:rPr>
              <w:t>、夜间：50</w:t>
            </w:r>
            <w:r>
              <w:rPr>
                <w:rFonts w:hint="default" w:ascii="Times New Roman" w:hAnsi="Times New Roman" w:eastAsia="宋体" w:cs="Times New Roman"/>
                <w:sz w:val="24"/>
                <w:lang w:val="en-US" w:eastAsia="zh-CN"/>
              </w:rPr>
              <w:t>dB（A）</w:t>
            </w:r>
            <w:r>
              <w:rPr>
                <w:rFonts w:hint="eastAsia" w:cs="Times New Roman"/>
                <w:sz w:val="24"/>
                <w:lang w:val="en-US" w:eastAsia="zh-CN"/>
              </w:rPr>
              <w:t>）</w:t>
            </w:r>
          </w:p>
          <w:p>
            <w:pPr>
              <w:spacing w:before="62" w:beforeLines="20" w:line="360" w:lineRule="auto"/>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rPr>
                <w:rFonts w:eastAsia="仿宋_GB2312"/>
                <w:color w:val="000000"/>
                <w:szCs w:val="21"/>
              </w:rPr>
            </w:pPr>
          </w:p>
          <w:p>
            <w:pPr>
              <w:rPr>
                <w:rFonts w:eastAsia="仿宋_GB2312"/>
                <w:color w:val="000000"/>
                <w:szCs w:val="21"/>
              </w:rPr>
            </w:pPr>
          </w:p>
          <w:p>
            <w:pPr>
              <w:pStyle w:val="22"/>
            </w:pPr>
          </w:p>
          <w:p>
            <w:pPr>
              <w:spacing w:before="62" w:beforeLines="20" w:line="360" w:lineRule="auto"/>
              <w:rPr>
                <w:rFonts w:eastAsia="仿宋_GB2312"/>
                <w:color w:val="000000"/>
                <w:szCs w:val="21"/>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八</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验收监测结论：</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1、废水</w:t>
            </w:r>
          </w:p>
          <w:p>
            <w:pPr>
              <w:spacing w:before="62" w:beforeLines="20" w:line="360" w:lineRule="auto"/>
              <w:ind w:firstLine="480" w:firstLineChars="200"/>
              <w:rPr>
                <w:rFonts w:hint="eastAsia"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t>本项目废水主要为职工生活污水，</w:t>
            </w:r>
            <w:r>
              <w:rPr>
                <w:rFonts w:hint="eastAsia" w:cs="Times New Roman" w:eastAsiaTheme="minorEastAsia"/>
                <w:sz w:val="24"/>
                <w:lang w:eastAsia="zh-CN"/>
              </w:rPr>
              <w:t>生活</w:t>
            </w:r>
            <w:r>
              <w:rPr>
                <w:rFonts w:hint="eastAsia" w:hAnsi="宋体"/>
                <w:bCs/>
                <w:sz w:val="24"/>
                <w:szCs w:val="24"/>
                <w:lang w:eastAsia="zh-CN"/>
              </w:rPr>
              <w:t>污水不含有化学物质，不含有有毒有害、重金属等杂质，化学性质稳定，结构简单，各项污染因子浓度较低，属于较清洁下水</w:t>
            </w:r>
            <w:r>
              <w:rPr>
                <w:rFonts w:hint="eastAsia" w:cs="Times New Roman" w:eastAsiaTheme="minorEastAsia"/>
                <w:sz w:val="24"/>
                <w:lang w:eastAsia="zh-CN"/>
              </w:rPr>
              <w:t>。全部排入企业自建防渗旱厕，定期清掏，用作农家肥，无废水直接排放至地表水环境</w:t>
            </w:r>
            <w:r>
              <w:rPr>
                <w:rFonts w:hint="default" w:ascii="Times New Roman" w:hAnsi="Times New Roman" w:cs="Times New Roman"/>
                <w:b w:val="0"/>
                <w:bCs/>
                <w:color w:val="auto"/>
                <w:spacing w:val="-6"/>
                <w:sz w:val="24"/>
                <w:szCs w:val="24"/>
                <w:lang w:eastAsia="zh-CN"/>
              </w:rPr>
              <w:t>。</w:t>
            </w:r>
            <w:r>
              <w:rPr>
                <w:rFonts w:hint="eastAsia" w:cs="Times New Roman" w:eastAsiaTheme="minorEastAsia"/>
                <w:sz w:val="24"/>
                <w:lang w:eastAsia="zh-CN"/>
              </w:rPr>
              <w:t>满足环评及批复的验收要求。</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2、废气</w:t>
            </w:r>
          </w:p>
          <w:p>
            <w:pPr>
              <w:pStyle w:val="67"/>
              <w:spacing w:line="360" w:lineRule="auto"/>
              <w:ind w:firstLine="480" w:firstLineChars="200"/>
              <w:jc w:val="both"/>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u w:val="none"/>
                <w:lang w:val="en-US" w:eastAsia="zh-CN"/>
              </w:rPr>
              <w:t>本项目木材开料、钻孔、铣型、开榫会产生颗粒物</w:t>
            </w:r>
            <w:r>
              <w:rPr>
                <w:rFonts w:hint="eastAsia" w:ascii="Times New Roman" w:hAnsi="Times New Roman" w:cs="Times New Roman" w:eastAsiaTheme="minorEastAsia"/>
                <w:sz w:val="24"/>
                <w:u w:val="none"/>
                <w:lang w:val="en-US" w:eastAsia="zh-CN"/>
              </w:rPr>
              <w:t>，</w:t>
            </w:r>
            <w:r>
              <w:rPr>
                <w:rFonts w:hint="default" w:ascii="Times New Roman" w:hAnsi="Times New Roman" w:cs="Times New Roman" w:eastAsiaTheme="minorEastAsia"/>
                <w:sz w:val="24"/>
                <w:u w:val="none"/>
                <w:lang w:val="en-US" w:eastAsia="zh-CN"/>
              </w:rPr>
              <w:t>全部工艺均在密闭车间内进行，每个工艺中每个单机设备均配备单机滤袋除尘器，将颗粒物集中收集后，定期处理。少量逸散的颗粒物无组织排放至车间内，以无组织形式逃逸至环境大气；封边工艺产生的极少量有机废气</w:t>
            </w:r>
            <w:r>
              <w:rPr>
                <w:rFonts w:hint="default" w:ascii="Times New Roman" w:hAnsi="Times New Roman" w:cs="Times New Roman" w:eastAsiaTheme="minorEastAsia"/>
                <w:i/>
                <w:iCs/>
                <w:sz w:val="24"/>
                <w:u w:val="none"/>
                <w:lang w:val="en-US" w:eastAsia="zh-CN"/>
              </w:rPr>
              <w:t>（以非甲烷总烃计），</w:t>
            </w:r>
            <w:r>
              <w:rPr>
                <w:rFonts w:hint="eastAsia" w:ascii="Times New Roman" w:hAnsi="Times New Roman" w:cs="Times New Roman" w:eastAsiaTheme="minorEastAsia"/>
                <w:i w:val="0"/>
                <w:iCs w:val="0"/>
                <w:sz w:val="24"/>
                <w:u w:val="none"/>
                <w:lang w:val="en-US" w:eastAsia="zh-CN"/>
              </w:rPr>
              <w:t>在此工艺上方设置集气罩，废气经收集后，由风机引出，经15米高排气筒排放</w:t>
            </w:r>
            <w:r>
              <w:rPr>
                <w:rFonts w:hint="default" w:ascii="Times New Roman" w:hAnsi="Times New Roman" w:cs="Times New Roman" w:eastAsiaTheme="minorEastAsia"/>
                <w:sz w:val="24"/>
                <w:u w:val="none"/>
                <w:lang w:val="en-US" w:eastAsia="zh-CN"/>
              </w:rPr>
              <w:t>。</w:t>
            </w:r>
            <w:r>
              <w:rPr>
                <w:rFonts w:hint="default" w:ascii="Times New Roman" w:hAnsi="Times New Roman" w:cs="Times New Roman" w:eastAsiaTheme="minorEastAsia"/>
                <w:sz w:val="24"/>
                <w:u w:val="none"/>
              </w:rPr>
              <w:t>根</w:t>
            </w:r>
            <w:r>
              <w:rPr>
                <w:rFonts w:hint="default" w:ascii="Times New Roman" w:hAnsi="Times New Roman" w:cs="Times New Roman" w:eastAsiaTheme="minorEastAsia"/>
                <w:sz w:val="24"/>
              </w:rPr>
              <w:t>据吉林省</w:t>
            </w:r>
            <w:r>
              <w:rPr>
                <w:rFonts w:hint="default" w:ascii="Times New Roman" w:hAnsi="Times New Roman" w:cs="Times New Roman" w:eastAsiaTheme="minorEastAsia"/>
                <w:sz w:val="24"/>
                <w:lang w:eastAsia="zh-CN"/>
              </w:rPr>
              <w:t>世翔环境科技</w:t>
            </w:r>
            <w:r>
              <w:rPr>
                <w:rFonts w:hint="default" w:ascii="Times New Roman" w:hAnsi="Times New Roman" w:cs="Times New Roman" w:eastAsiaTheme="minorEastAsia"/>
                <w:sz w:val="24"/>
              </w:rPr>
              <w:t>有限公司</w:t>
            </w:r>
            <w:r>
              <w:rPr>
                <w:rFonts w:hint="default" w:ascii="Times New Roman" w:hAnsi="Times New Roman" w:cs="Times New Roman" w:eastAsiaTheme="minorEastAsia"/>
                <w:sz w:val="24"/>
                <w:lang w:val="en-US" w:eastAsia="zh-CN"/>
              </w:rPr>
              <w:t>20</w:t>
            </w:r>
            <w:r>
              <w:rPr>
                <w:rFonts w:hint="eastAsia" w:ascii="Times New Roman" w:hAnsi="Times New Roman" w:cs="Times New Roman" w:eastAsiaTheme="minorEastAsia"/>
                <w:sz w:val="24"/>
                <w:lang w:val="en-US" w:eastAsia="zh-CN"/>
              </w:rPr>
              <w:t>21</w:t>
            </w:r>
            <w:r>
              <w:rPr>
                <w:rFonts w:hint="default" w:ascii="Times New Roman" w:hAnsi="Times New Roman" w:cs="Times New Roman" w:eastAsiaTheme="minorEastAsia"/>
                <w:sz w:val="24"/>
                <w:lang w:val="en-US" w:eastAsia="zh-CN"/>
              </w:rPr>
              <w:t>年</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ascii="Times New Roman" w:hAnsi="Times New Roman" w:cs="Times New Roman" w:eastAsiaTheme="minorEastAsia"/>
                <w:sz w:val="24"/>
                <w:lang w:val="en-US" w:eastAsia="zh-CN"/>
              </w:rPr>
              <w:t>19</w:t>
            </w:r>
            <w:r>
              <w:rPr>
                <w:rFonts w:hint="default" w:ascii="Times New Roman" w:hAnsi="Times New Roman" w:cs="Times New Roman" w:eastAsiaTheme="minorEastAsia"/>
                <w:sz w:val="24"/>
                <w:lang w:val="en-US" w:eastAsia="zh-CN"/>
              </w:rPr>
              <w:t>日-</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ascii="Times New Roman" w:hAnsi="Times New Roman" w:cs="Times New Roman" w:eastAsiaTheme="minorEastAsia"/>
                <w:sz w:val="24"/>
                <w:lang w:val="en-US" w:eastAsia="zh-CN"/>
              </w:rPr>
              <w:t>20</w:t>
            </w:r>
            <w:r>
              <w:rPr>
                <w:rFonts w:hint="default" w:ascii="Times New Roman" w:hAnsi="Times New Roman" w:cs="Times New Roman" w:eastAsiaTheme="minorEastAsia"/>
                <w:sz w:val="24"/>
                <w:lang w:val="en-US" w:eastAsia="zh-CN"/>
              </w:rPr>
              <w:t>日的监测结果可知</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eastAsia="zh-CN"/>
              </w:rPr>
              <w:t>本项目厂界处颗粒物最高排放浓度为</w:t>
            </w:r>
            <w:r>
              <w:rPr>
                <w:rFonts w:hint="default" w:ascii="Times New Roman" w:hAnsi="Times New Roman" w:cs="Times New Roman" w:eastAsiaTheme="minorEastAsia"/>
                <w:sz w:val="24"/>
                <w:lang w:val="en-US" w:eastAsia="zh-CN"/>
              </w:rPr>
              <w:t>0.11</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lang w:val="en-US" w:eastAsia="zh-CN"/>
              </w:rPr>
              <w:t>mg/m</w:t>
            </w:r>
            <w:r>
              <w:rPr>
                <w:rFonts w:hint="default" w:ascii="Times New Roman" w:hAnsi="Times New Roman" w:cs="Times New Roman" w:eastAsiaTheme="minorEastAsia"/>
                <w:sz w:val="24"/>
                <w:vertAlign w:val="superscript"/>
                <w:lang w:val="en-US" w:eastAsia="zh-CN"/>
              </w:rPr>
              <w:t>3</w:t>
            </w:r>
            <w:r>
              <w:rPr>
                <w:rFonts w:hint="default" w:ascii="Times New Roman" w:hAnsi="Times New Roman" w:cs="Times New Roman" w:eastAsiaTheme="minorEastAsia"/>
                <w:sz w:val="24"/>
                <w:lang w:val="en-US" w:eastAsia="zh-CN"/>
              </w:rPr>
              <w:t>，监控点与对照点的浓度最大差值为0.0</w:t>
            </w:r>
            <w:r>
              <w:rPr>
                <w:rFonts w:hint="eastAsia" w:ascii="Times New Roman" w:hAnsi="Times New Roman" w:cs="Times New Roman" w:eastAsiaTheme="minorEastAsia"/>
                <w:sz w:val="24"/>
                <w:lang w:val="en-US" w:eastAsia="zh-CN"/>
              </w:rPr>
              <w:t>45</w:t>
            </w:r>
            <w:r>
              <w:rPr>
                <w:rFonts w:hint="default" w:ascii="Times New Roman" w:hAnsi="Times New Roman" w:cs="Times New Roman" w:eastAsiaTheme="minorEastAsia"/>
                <w:sz w:val="24"/>
                <w:lang w:val="en-US" w:eastAsia="zh-CN"/>
              </w:rPr>
              <w:t>mg/m</w:t>
            </w:r>
            <w:r>
              <w:rPr>
                <w:rFonts w:hint="default" w:ascii="Times New Roman" w:hAnsi="Times New Roman" w:cs="Times New Roman" w:eastAsiaTheme="minorEastAsia"/>
                <w:sz w:val="24"/>
                <w:vertAlign w:val="superscript"/>
                <w:lang w:val="en-US" w:eastAsia="zh-CN"/>
              </w:rPr>
              <w:t>3</w:t>
            </w:r>
            <w:r>
              <w:rPr>
                <w:rFonts w:hint="default" w:ascii="Times New Roman" w:hAnsi="Times New Roman" w:cs="Times New Roman" w:eastAsiaTheme="minorEastAsia"/>
                <w:sz w:val="24"/>
                <w:lang w:val="en-US" w:eastAsia="zh-CN"/>
              </w:rPr>
              <w:t>；</w:t>
            </w:r>
            <w:r>
              <w:rPr>
                <w:rFonts w:hint="eastAsia" w:ascii="Times New Roman" w:hAnsi="Times New Roman" w:cs="Times New Roman" w:eastAsiaTheme="minorEastAsia"/>
                <w:sz w:val="24"/>
                <w:lang w:val="en-US" w:eastAsia="zh-CN"/>
              </w:rPr>
              <w:t>胶合废气排气筒中</w:t>
            </w:r>
            <w:r>
              <w:rPr>
                <w:rFonts w:hint="default" w:ascii="Times New Roman" w:hAnsi="Times New Roman" w:cs="Times New Roman" w:eastAsiaTheme="minorEastAsia"/>
                <w:sz w:val="24"/>
                <w:lang w:val="en-US" w:eastAsia="zh-CN"/>
              </w:rPr>
              <w:t>非甲烷总烃排放浓度</w:t>
            </w:r>
            <w:r>
              <w:rPr>
                <w:rFonts w:hint="eastAsia" w:ascii="Times New Roman" w:hAnsi="Times New Roman" w:cs="Times New Roman" w:eastAsiaTheme="minorEastAsia"/>
                <w:sz w:val="24"/>
                <w:lang w:val="en-US" w:eastAsia="zh-CN"/>
              </w:rPr>
              <w:t>及排放速率为0.21mg/m</w:t>
            </w:r>
            <w:r>
              <w:rPr>
                <w:rFonts w:hint="eastAsia" w:ascii="Times New Roman" w:hAnsi="Times New Roman" w:cs="Times New Roman" w:eastAsiaTheme="minorEastAsia"/>
                <w:sz w:val="24"/>
                <w:vertAlign w:val="superscript"/>
                <w:lang w:val="en-US" w:eastAsia="zh-CN"/>
              </w:rPr>
              <w:t>3</w:t>
            </w:r>
            <w:r>
              <w:rPr>
                <w:rFonts w:hint="eastAsia" w:ascii="Times New Roman" w:hAnsi="Times New Roman" w:cs="Times New Roman" w:eastAsiaTheme="minorEastAsia"/>
                <w:sz w:val="24"/>
                <w:lang w:val="en-US" w:eastAsia="zh-CN"/>
              </w:rPr>
              <w:t>、0.0004kg/h</w:t>
            </w:r>
            <w:r>
              <w:rPr>
                <w:rFonts w:hint="default" w:ascii="Times New Roman" w:hAnsi="Times New Roman" w:cs="Times New Roman" w:eastAsiaTheme="minorEastAsia"/>
                <w:sz w:val="24"/>
                <w:lang w:val="en-US" w:eastAsia="zh-CN"/>
              </w:rPr>
              <w:t>。两种污染因子排放浓度</w:t>
            </w:r>
            <w:r>
              <w:rPr>
                <w:rFonts w:hint="eastAsia" w:ascii="Times New Roman" w:hAnsi="Times New Roman" w:cs="Times New Roman" w:eastAsiaTheme="minorEastAsia"/>
                <w:sz w:val="24"/>
                <w:lang w:val="en-US" w:eastAsia="zh-CN"/>
              </w:rPr>
              <w:t>及排放速率</w:t>
            </w:r>
            <w:r>
              <w:rPr>
                <w:rFonts w:hint="default" w:ascii="Times New Roman" w:hAnsi="Times New Roman" w:cs="Times New Roman" w:eastAsiaTheme="minorEastAsia"/>
                <w:sz w:val="24"/>
                <w:lang w:val="en-US" w:eastAsia="zh-CN"/>
              </w:rPr>
              <w:t>均可以满足GB16297-1996《大气污染物综合排放标准》中</w:t>
            </w:r>
            <w:r>
              <w:rPr>
                <w:rFonts w:hint="eastAsia" w:ascii="Times New Roman" w:hAnsi="Times New Roman" w:cs="Times New Roman" w:eastAsiaTheme="minorEastAsia"/>
                <w:sz w:val="24"/>
                <w:lang w:val="en-US" w:eastAsia="zh-CN"/>
              </w:rPr>
              <w:t>规定的排放标准</w:t>
            </w:r>
            <w:r>
              <w:rPr>
                <w:rFonts w:hint="default" w:ascii="Times New Roman" w:hAnsi="Times New Roman" w:cs="Times New Roman" w:eastAsiaTheme="minorEastAsia"/>
                <w:sz w:val="24"/>
                <w:lang w:val="en-US" w:eastAsia="zh-CN"/>
              </w:rPr>
              <w:t>限值要求</w:t>
            </w:r>
            <w:r>
              <w:rPr>
                <w:rFonts w:hint="default" w:ascii="Times New Roman" w:hAnsi="Times New Roman" w:cs="Times New Roman" w:eastAsiaTheme="minorEastAsia"/>
                <w:bCs/>
                <w:color w:val="auto"/>
                <w:sz w:val="24"/>
                <w:lang w:val="en-US" w:eastAsia="zh-CN"/>
              </w:rPr>
              <w:t>。</w:t>
            </w:r>
            <w:r>
              <w:rPr>
                <w:rFonts w:hint="eastAsia" w:ascii="Times New Roman" w:hAnsi="Times New Roman" w:cs="Times New Roman" w:eastAsiaTheme="minorEastAsia"/>
                <w:bCs/>
                <w:color w:val="auto"/>
                <w:sz w:val="24"/>
                <w:lang w:val="en-US" w:eastAsia="zh-CN"/>
              </w:rPr>
              <w:t>各项废气污染物都能做到达标排放。</w:t>
            </w:r>
            <w:r>
              <w:rPr>
                <w:rFonts w:hint="eastAsia" w:cs="Times New Roman" w:eastAsiaTheme="minorEastAsia"/>
                <w:color w:val="auto"/>
                <w:sz w:val="24"/>
                <w:lang w:val="en-US" w:eastAsia="zh-CN"/>
              </w:rPr>
              <w:t>满足环评及批复的验</w:t>
            </w:r>
            <w:r>
              <w:rPr>
                <w:rFonts w:hint="eastAsia" w:cs="Times New Roman" w:eastAsiaTheme="minorEastAsia"/>
                <w:sz w:val="24"/>
                <w:lang w:val="en-US" w:eastAsia="zh-CN"/>
              </w:rPr>
              <w:t>收要求。</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3、噪声</w:t>
            </w:r>
          </w:p>
          <w:p>
            <w:pPr>
              <w:spacing w:before="62" w:beforeLines="20"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cs="Times New Roman" w:eastAsiaTheme="minorEastAsia"/>
                <w:sz w:val="24"/>
                <w:lang w:eastAsia="zh-CN"/>
              </w:rPr>
              <w:t>本项目噪声主要来自生产设备，首选低噪声设备，其次在安装设备过程中，进行基础减振、安装隔振垫，设备加隔音罩，并加强设备日常</w:t>
            </w:r>
            <w:r>
              <w:rPr>
                <w:rFonts w:hint="default" w:ascii="Times New Roman" w:hAnsi="Times New Roman" w:cs="Times New Roman" w:eastAsiaTheme="minorEastAsia"/>
                <w:sz w:val="24"/>
                <w:lang w:val="en-US" w:eastAsia="zh-CN"/>
              </w:rPr>
              <w:t>维护，再经过密闭厂房及窗户、距离衰减及绿化以后</w:t>
            </w:r>
            <w:r>
              <w:rPr>
                <w:rFonts w:hint="default" w:ascii="Times New Roman" w:hAnsi="Times New Roman" w:cs="Times New Roman" w:eastAsiaTheme="minorEastAsia"/>
                <w:sz w:val="24"/>
                <w:lang w:eastAsia="zh-CN"/>
              </w:rPr>
              <w:t>，根据吉林省世翔环境科技有限公司</w:t>
            </w:r>
            <w:r>
              <w:rPr>
                <w:rFonts w:hint="default" w:ascii="Times New Roman" w:hAnsi="Times New Roman" w:cs="Times New Roman" w:eastAsiaTheme="minorEastAsia"/>
                <w:sz w:val="24"/>
                <w:lang w:val="en-US" w:eastAsia="zh-CN"/>
              </w:rPr>
              <w:t>20</w:t>
            </w:r>
            <w:r>
              <w:rPr>
                <w:rFonts w:hint="eastAsia" w:cs="Times New Roman" w:eastAsiaTheme="minorEastAsia"/>
                <w:sz w:val="24"/>
                <w:lang w:val="en-US" w:eastAsia="zh-CN"/>
              </w:rPr>
              <w:t>21</w:t>
            </w:r>
            <w:r>
              <w:rPr>
                <w:rFonts w:hint="default" w:ascii="Times New Roman" w:hAnsi="Times New Roman" w:cs="Times New Roman" w:eastAsiaTheme="minorEastAsia"/>
                <w:sz w:val="24"/>
                <w:lang w:val="en-US" w:eastAsia="zh-CN"/>
              </w:rPr>
              <w:t>年</w:t>
            </w:r>
            <w:r>
              <w:rPr>
                <w:rFonts w:hint="eastAsia"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cs="Times New Roman" w:eastAsiaTheme="minorEastAsia"/>
                <w:sz w:val="24"/>
                <w:lang w:val="en-US" w:eastAsia="zh-CN"/>
              </w:rPr>
              <w:t>19</w:t>
            </w:r>
            <w:r>
              <w:rPr>
                <w:rFonts w:hint="default" w:ascii="Times New Roman" w:hAnsi="Times New Roman" w:cs="Times New Roman" w:eastAsiaTheme="minorEastAsia"/>
                <w:sz w:val="24"/>
                <w:lang w:val="en-US" w:eastAsia="zh-CN"/>
              </w:rPr>
              <w:t>日-</w:t>
            </w:r>
            <w:r>
              <w:rPr>
                <w:rFonts w:hint="eastAsia" w:cs="Times New Roman" w:eastAsiaTheme="minorEastAsia"/>
                <w:sz w:val="24"/>
                <w:lang w:val="en-US" w:eastAsia="zh-CN"/>
              </w:rPr>
              <w:t>4月20</w:t>
            </w:r>
            <w:r>
              <w:rPr>
                <w:rFonts w:hint="default" w:ascii="Times New Roman" w:hAnsi="Times New Roman" w:cs="Times New Roman" w:eastAsiaTheme="minorEastAsia"/>
                <w:sz w:val="24"/>
                <w:lang w:val="en-US" w:eastAsia="zh-CN"/>
              </w:rPr>
              <w:t>日的监测结果可知，本项目噪声排放值为昼间、夜间均可以满足《工业企业厂界环境噪声排放标准》（GB12348-2008）中</w:t>
            </w:r>
            <w:r>
              <w:rPr>
                <w:rFonts w:hint="eastAsia" w:cs="Times New Roman" w:eastAsiaTheme="minorEastAsia"/>
                <w:sz w:val="24"/>
                <w:lang w:val="en-US" w:eastAsia="zh-CN"/>
              </w:rPr>
              <w:t>2</w:t>
            </w:r>
            <w:r>
              <w:rPr>
                <w:rFonts w:hint="default" w:ascii="Times New Roman" w:hAnsi="Times New Roman" w:cs="Times New Roman" w:eastAsiaTheme="minorEastAsia"/>
                <w:sz w:val="24"/>
                <w:lang w:val="en-US" w:eastAsia="zh-CN"/>
              </w:rPr>
              <w:t>类排放标准要求</w:t>
            </w:r>
            <w:r>
              <w:rPr>
                <w:rFonts w:hint="default" w:ascii="Times New Roman" w:hAnsi="Times New Roman" w:eastAsia="宋体" w:cs="Times New Roman"/>
                <w:sz w:val="24"/>
              </w:rPr>
              <w:t>。</w:t>
            </w:r>
            <w:r>
              <w:rPr>
                <w:rFonts w:hint="eastAsia" w:cs="Times New Roman"/>
                <w:sz w:val="24"/>
                <w:lang w:eastAsia="zh-CN"/>
              </w:rPr>
              <w:t>满足环评及审批部门的验收要求。</w:t>
            </w:r>
          </w:p>
          <w:p>
            <w:pPr>
              <w:spacing w:before="62"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4、固体废物</w:t>
            </w:r>
          </w:p>
          <w:p>
            <w:pPr>
              <w:pStyle w:val="30"/>
              <w:ind w:left="0" w:leftChars="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本项目固体废物为生活垃圾、锅炉炉灰、废边角料、废包装袋、废胶桶及生产车间布袋除尘器收集到的木质粉尘。</w:t>
            </w:r>
          </w:p>
          <w:p>
            <w:pPr>
              <w:pStyle w:val="30"/>
              <w:ind w:left="0" w:leftChars="0" w:firstLine="0" w:firstLineChars="0"/>
              <w:rPr>
                <w:rFonts w:hint="eastAsia" w:hAnsi="宋体"/>
                <w:sz w:val="24"/>
                <w:lang w:val="en-US" w:eastAsia="zh-CN"/>
              </w:rPr>
            </w:pPr>
            <w:r>
              <w:rPr>
                <w:rFonts w:hint="eastAsia" w:ascii="Times New Roman" w:hAnsi="Times New Roman" w:cs="Times New Roman"/>
                <w:color w:val="auto"/>
                <w:sz w:val="24"/>
                <w:szCs w:val="24"/>
                <w:lang w:val="en-US" w:eastAsia="zh-CN"/>
              </w:rPr>
              <w:t>本项目生活垃圾集中收集后交由环卫部门处理；废边角料卖给相关企业回收利用；废包装袋和生产车间布袋除尘器收集到的木质粉尘统一交由环卫部门处理；由于乳白胶不含有害物质，为环保型乳白胶。因此其废胶桶不属于危险废物，厂区不设危险废物暂存间。废胶桶由厂家回收。</w:t>
            </w:r>
          </w:p>
          <w:p>
            <w:pPr>
              <w:spacing w:line="360" w:lineRule="auto"/>
              <w:ind w:firstLine="480" w:firstLineChars="200"/>
              <w:rPr>
                <w:rFonts w:hint="eastAsia" w:ascii="Times New Roman" w:hAnsi="Times New Roman" w:eastAsia="宋体" w:cs="Times New Roman"/>
                <w:sz w:val="24"/>
                <w:lang w:eastAsia="zh-CN"/>
              </w:rPr>
            </w:pPr>
            <w:r>
              <w:rPr>
                <w:rFonts w:hint="eastAsia" w:hAnsi="宋体"/>
                <w:sz w:val="24"/>
                <w:lang w:val="en-US" w:eastAsia="zh-CN"/>
              </w:rPr>
              <w:t>各项固体废物基本得到了妥善处理，未产生二次污染。</w:t>
            </w:r>
            <w:r>
              <w:rPr>
                <w:rFonts w:hint="eastAsia" w:hAnsi="宋体"/>
                <w:sz w:val="24"/>
                <w:lang w:eastAsia="zh-CN"/>
              </w:rPr>
              <w:t>满足环评及批复的验收要求。</w:t>
            </w:r>
          </w:p>
          <w:p>
            <w:pPr>
              <w:numPr>
                <w:ilvl w:val="0"/>
                <w:numId w:val="0"/>
              </w:numPr>
              <w:spacing w:before="62" w:beforeLines="20" w:line="360" w:lineRule="auto"/>
              <w:ind w:leftChars="200"/>
              <w:rPr>
                <w:rFonts w:hint="default" w:ascii="Times New Roman" w:hAnsi="Times New Roman" w:cs="Times New Roman"/>
                <w:sz w:val="24"/>
                <w:lang w:eastAsia="zh-CN"/>
              </w:rPr>
            </w:pPr>
            <w:r>
              <w:rPr>
                <w:rFonts w:hint="default" w:ascii="Times New Roman" w:hAnsi="Times New Roman" w:cs="Times New Roman"/>
                <w:sz w:val="24"/>
                <w:lang w:val="en-US" w:eastAsia="zh-CN"/>
              </w:rPr>
              <w:t>5、</w:t>
            </w:r>
            <w:r>
              <w:rPr>
                <w:rFonts w:hint="default" w:ascii="Times New Roman" w:hAnsi="Times New Roman" w:cs="Times New Roman"/>
                <w:sz w:val="24"/>
                <w:lang w:eastAsia="zh-CN"/>
              </w:rPr>
              <w:t>总量控制</w:t>
            </w:r>
          </w:p>
          <w:p>
            <w:pPr>
              <w:spacing w:line="360" w:lineRule="auto"/>
              <w:ind w:firstLine="480"/>
              <w:rPr>
                <w:rFonts w:hint="default" w:ascii="Times New Roman" w:hAnsi="Times New Roman" w:eastAsia="宋体" w:cs="Times New Roman"/>
                <w:bCs/>
                <w:color w:val="auto"/>
                <w:sz w:val="24"/>
                <w:szCs w:val="24"/>
                <w:lang w:eastAsia="zh-CN"/>
              </w:rPr>
            </w:pPr>
            <w:r>
              <w:rPr>
                <w:rFonts w:hint="eastAsia" w:ascii="宋体" w:hAnsi="宋体"/>
                <w:sz w:val="24"/>
                <w:szCs w:val="24"/>
              </w:rPr>
              <w:t>本项目生产用热和冬季采暖采用电加热，故本项目无</w:t>
            </w:r>
            <w:r>
              <w:rPr>
                <w:rFonts w:ascii="宋体" w:hAnsi="宋体"/>
                <w:sz w:val="24"/>
                <w:szCs w:val="24"/>
              </w:rPr>
              <w:t>烟尘、</w:t>
            </w:r>
            <w:r>
              <w:rPr>
                <w:sz w:val="24"/>
                <w:szCs w:val="24"/>
              </w:rPr>
              <w:t>SO</w:t>
            </w:r>
            <w:r>
              <w:rPr>
                <w:sz w:val="24"/>
                <w:szCs w:val="24"/>
                <w:vertAlign w:val="subscript"/>
              </w:rPr>
              <w:t>2</w:t>
            </w:r>
            <w:r>
              <w:rPr>
                <w:rFonts w:ascii="宋体" w:hAnsi="宋体"/>
                <w:sz w:val="24"/>
                <w:szCs w:val="24"/>
              </w:rPr>
              <w:t>、</w:t>
            </w:r>
            <w:r>
              <w:rPr>
                <w:sz w:val="24"/>
                <w:szCs w:val="24"/>
              </w:rPr>
              <w:t>NOx</w:t>
            </w:r>
            <w:r>
              <w:rPr>
                <w:rFonts w:hint="eastAsia" w:ascii="宋体" w:hAnsi="宋体"/>
                <w:sz w:val="24"/>
                <w:szCs w:val="24"/>
              </w:rPr>
              <w:t>排放。本项目</w:t>
            </w:r>
            <w:r>
              <w:rPr>
                <w:rFonts w:hint="eastAsia" w:ascii="Times New Roman" w:hAnsi="Times New Roman" w:eastAsia="宋体" w:cs="Times New Roman"/>
                <w:bCs/>
                <w:color w:val="auto"/>
                <w:sz w:val="24"/>
                <w:szCs w:val="24"/>
              </w:rPr>
              <w:t>废水不外排，故无COD及氨氮总量控制指标。</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rPr>
              <w:t>公众意见调查结果</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本项目位于德惠市万宝镇大王家村十社。经向</w:t>
            </w:r>
            <w:r>
              <w:rPr>
                <w:rFonts w:hint="eastAsia" w:ascii="Times New Roman" w:hAnsi="Times New Roman" w:eastAsia="宋体" w:cs="Times New Roman"/>
                <w:bCs/>
                <w:color w:val="auto"/>
                <w:sz w:val="24"/>
                <w:szCs w:val="24"/>
                <w:lang w:eastAsia="zh-CN"/>
              </w:rPr>
              <w:t>长春</w:t>
            </w:r>
            <w:r>
              <w:rPr>
                <w:rFonts w:hint="default" w:ascii="Times New Roman" w:hAnsi="Times New Roman" w:eastAsia="宋体" w:cs="Times New Roman"/>
                <w:bCs/>
                <w:color w:val="auto"/>
                <w:sz w:val="24"/>
                <w:szCs w:val="24"/>
              </w:rPr>
              <w:t>市环境保护局</w:t>
            </w:r>
            <w:r>
              <w:rPr>
                <w:rFonts w:hint="eastAsia" w:ascii="Times New Roman" w:hAnsi="Times New Roman" w:eastAsia="宋体" w:cs="Times New Roman"/>
                <w:bCs/>
                <w:color w:val="auto"/>
                <w:sz w:val="24"/>
                <w:szCs w:val="24"/>
                <w:lang w:eastAsia="zh-CN"/>
              </w:rPr>
              <w:t>德惠市分局</w:t>
            </w:r>
            <w:r>
              <w:rPr>
                <w:rFonts w:hint="default" w:ascii="Times New Roman" w:hAnsi="Times New Roman" w:eastAsia="宋体" w:cs="Times New Roman"/>
                <w:bCs/>
                <w:color w:val="auto"/>
                <w:sz w:val="24"/>
                <w:szCs w:val="24"/>
              </w:rPr>
              <w:t>咨询，该项目建设及运行阶段，均未接到投诉，未发生扰民事件。</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rPr>
              <w:t>、竣工验收结论</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根据对项目竣工环境保护验收监测结果，该项目执行了建设项目环境管理制度</w:t>
            </w:r>
          </w:p>
          <w:p>
            <w:pPr>
              <w:spacing w:line="360" w:lineRule="auto"/>
              <w:ind w:firstLine="240" w:firstLineChars="1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进行了环境影响评价，批复文件齐全，环境文件及批复提出的各项环境保护措施要求得到了较好的落实，基本执行了环境保护“三同时”制度。</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因此，本项目符合建设项目竣工环境保护验收的要求。</w:t>
            </w:r>
          </w:p>
          <w:p>
            <w:pPr>
              <w:spacing w:line="360" w:lineRule="auto"/>
              <w:ind w:firstLine="48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8、其他信息</w:t>
            </w:r>
          </w:p>
          <w:p>
            <w:pPr>
              <w:spacing w:line="360" w:lineRule="auto"/>
              <w:ind w:firstLine="480"/>
              <w:rPr>
                <w:rFonts w:hint="default" w:ascii="Times New Roman" w:hAnsi="Times New Roman" w:eastAsia="宋体" w:cs="Times New Roman"/>
                <w:color w:val="000000"/>
                <w:sz w:val="24"/>
                <w:lang w:val="en-US" w:eastAsia="zh-CN"/>
              </w:rPr>
            </w:pPr>
            <w:r>
              <w:rPr>
                <w:rFonts w:hint="eastAsia" w:cs="Times New Roman"/>
                <w:color w:val="000000"/>
                <w:sz w:val="24"/>
                <w:lang w:eastAsia="zh-CN"/>
              </w:rPr>
              <w:t>（</w:t>
            </w:r>
            <w:r>
              <w:rPr>
                <w:rFonts w:hint="eastAsia" w:cs="Times New Roman"/>
                <w:color w:val="000000"/>
                <w:sz w:val="24"/>
                <w:lang w:val="en-US" w:eastAsia="zh-CN"/>
              </w:rPr>
              <w:t>1）审批情况</w:t>
            </w:r>
          </w:p>
          <w:p>
            <w:pPr>
              <w:spacing w:line="360" w:lineRule="auto"/>
              <w:ind w:firstLine="480"/>
              <w:rPr>
                <w:rFonts w:hint="default" w:ascii="Times New Roman" w:hAnsi="Times New Roman" w:eastAsia="宋体" w:cs="Times New Roman"/>
                <w:color w:val="00B0F0"/>
                <w:sz w:val="24"/>
                <w:szCs w:val="24"/>
                <w:lang w:val="en-US" w:eastAsia="zh-CN"/>
              </w:rPr>
            </w:pPr>
            <w:r>
              <w:rPr>
                <w:rFonts w:hint="eastAsia" w:cs="Times New Roman"/>
                <w:color w:val="000000"/>
                <w:sz w:val="24"/>
                <w:lang w:eastAsia="zh-CN"/>
              </w:rPr>
              <w:t>德惠市万宝镇超达傢木门加工厂位于德惠市万宝镇大王家村十社</w:t>
            </w:r>
            <w:r>
              <w:rPr>
                <w:rFonts w:hint="eastAsia" w:cs="Times New Roman"/>
                <w:color w:val="auto"/>
                <w:sz w:val="24"/>
                <w:lang w:eastAsia="zh-CN"/>
              </w:rPr>
              <w:t>，</w:t>
            </w:r>
            <w:r>
              <w:rPr>
                <w:rFonts w:hint="default" w:ascii="Times New Roman" w:hAnsi="Times New Roman" w:eastAsia="宋体" w:cs="Times New Roman"/>
                <w:color w:val="auto"/>
                <w:sz w:val="24"/>
              </w:rPr>
              <w:t>20</w:t>
            </w:r>
            <w:r>
              <w:rPr>
                <w:rFonts w:hint="eastAsia" w:cs="Times New Roman"/>
                <w:color w:val="auto"/>
                <w:sz w:val="24"/>
                <w:lang w:val="en-US" w:eastAsia="zh-CN"/>
              </w:rPr>
              <w:t>18</w:t>
            </w:r>
            <w:r>
              <w:rPr>
                <w:rFonts w:hint="default" w:ascii="Times New Roman" w:hAnsi="Times New Roman" w:eastAsia="宋体" w:cs="Times New Roman"/>
                <w:color w:val="auto"/>
                <w:sz w:val="24"/>
              </w:rPr>
              <w:t>年</w:t>
            </w:r>
            <w:r>
              <w:rPr>
                <w:rFonts w:hint="eastAsia" w:cs="Times New Roman"/>
                <w:color w:val="auto"/>
                <w:sz w:val="24"/>
                <w:lang w:val="en-US" w:eastAsia="zh-CN"/>
              </w:rPr>
              <w:t>11</w:t>
            </w:r>
            <w:r>
              <w:rPr>
                <w:rFonts w:hint="default" w:ascii="Times New Roman" w:hAnsi="Times New Roman" w:eastAsia="宋体" w:cs="Times New Roman"/>
                <w:color w:val="auto"/>
                <w:sz w:val="24"/>
              </w:rPr>
              <w:t>月，德惠市万宝镇超达傢木门加工厂委托</w:t>
            </w:r>
            <w:r>
              <w:rPr>
                <w:rFonts w:hint="eastAsia" w:ascii="宋体" w:hAnsi="宋体"/>
                <w:color w:val="auto"/>
                <w:sz w:val="24"/>
                <w:szCs w:val="24"/>
              </w:rPr>
              <w:t>吉林省广信工程技术咨询有限公司</w:t>
            </w:r>
            <w:r>
              <w:rPr>
                <w:rFonts w:hint="default" w:ascii="Times New Roman" w:hAnsi="Times New Roman" w:eastAsia="宋体" w:cs="Times New Roman"/>
                <w:color w:val="auto"/>
                <w:sz w:val="24"/>
              </w:rPr>
              <w:t>编制完成了《德惠市万宝镇超达傢木门加工厂年产免漆强化木门4000套项目环境影响报告表》，并于201</w:t>
            </w:r>
            <w:r>
              <w:rPr>
                <w:rFonts w:hint="eastAsia" w:cs="Times New Roman"/>
                <w:color w:val="auto"/>
                <w:sz w:val="24"/>
                <w:lang w:val="en-US" w:eastAsia="zh-CN"/>
              </w:rPr>
              <w:t>8</w:t>
            </w:r>
            <w:r>
              <w:rPr>
                <w:rFonts w:hint="default" w:ascii="Times New Roman" w:hAnsi="Times New Roman" w:eastAsia="宋体" w:cs="Times New Roman"/>
                <w:color w:val="auto"/>
                <w:sz w:val="24"/>
              </w:rPr>
              <w:t>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auto"/>
                <w:sz w:val="24"/>
                <w:lang w:val="en-US" w:eastAsia="zh-CN"/>
              </w:rPr>
              <w:t>19</w:t>
            </w:r>
            <w:r>
              <w:rPr>
                <w:rFonts w:hint="default" w:ascii="Times New Roman" w:hAnsi="Times New Roman" w:eastAsia="宋体" w:cs="Times New Roman"/>
                <w:color w:val="auto"/>
                <w:sz w:val="24"/>
              </w:rPr>
              <w:t>日取得</w:t>
            </w:r>
            <w:r>
              <w:rPr>
                <w:rFonts w:hint="default" w:ascii="Times New Roman" w:hAnsi="Times New Roman" w:eastAsia="宋体" w:cs="Times New Roman"/>
                <w:color w:val="auto"/>
                <w:sz w:val="24"/>
                <w:szCs w:val="24"/>
                <w:lang w:eastAsia="zh-CN"/>
              </w:rPr>
              <w:t>长春市</w:t>
            </w:r>
            <w:r>
              <w:rPr>
                <w:rFonts w:hint="eastAsia" w:cs="Times New Roman"/>
                <w:color w:val="auto"/>
                <w:sz w:val="24"/>
                <w:szCs w:val="24"/>
                <w:lang w:eastAsia="zh-CN"/>
              </w:rPr>
              <w:t>生态环境局德惠市</w:t>
            </w:r>
            <w:r>
              <w:rPr>
                <w:rFonts w:hint="default" w:ascii="Times New Roman" w:hAnsi="Times New Roman" w:eastAsia="宋体" w:cs="Times New Roman"/>
                <w:color w:val="auto"/>
                <w:sz w:val="24"/>
                <w:szCs w:val="24"/>
                <w:lang w:eastAsia="zh-CN"/>
              </w:rPr>
              <w:t>分局</w:t>
            </w:r>
            <w:r>
              <w:rPr>
                <w:rFonts w:hint="default" w:ascii="Times New Roman" w:hAnsi="Times New Roman" w:eastAsia="宋体" w:cs="Times New Roman"/>
                <w:color w:val="auto"/>
                <w:sz w:val="24"/>
              </w:rPr>
              <w:t>的批复，批复文号为</w:t>
            </w:r>
            <w:r>
              <w:rPr>
                <w:rFonts w:hint="eastAsia" w:cs="Times New Roman"/>
                <w:color w:val="auto"/>
                <w:sz w:val="24"/>
                <w:szCs w:val="24"/>
                <w:lang w:eastAsia="zh-CN"/>
              </w:rPr>
              <w:t>德环审字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76</w:t>
            </w:r>
            <w:r>
              <w:rPr>
                <w:rFonts w:hint="default" w:ascii="Times New Roman" w:hAnsi="Times New Roman" w:eastAsia="宋体" w:cs="Times New Roman"/>
                <w:color w:val="auto"/>
                <w:sz w:val="24"/>
                <w:szCs w:val="24"/>
                <w:lang w:val="en-US" w:eastAsia="zh-CN"/>
              </w:rPr>
              <w:t>号。</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rPr>
              <w:t>依据《建设项目环境保护管理条例》（国务院第682号令）及国环规环评</w:t>
            </w:r>
            <w:r>
              <w:rPr>
                <w:rFonts w:hint="eastAsia" w:cs="Times New Roman"/>
                <w:color w:val="000000"/>
                <w:sz w:val="24"/>
                <w:lang w:eastAsia="zh-CN"/>
              </w:rPr>
              <w:t>【</w:t>
            </w:r>
            <w:r>
              <w:rPr>
                <w:rFonts w:hint="eastAsia" w:cs="Times New Roman"/>
                <w:color w:val="000000"/>
                <w:sz w:val="24"/>
                <w:lang w:val="en-US" w:eastAsia="zh-CN"/>
              </w:rPr>
              <w:t>2017】</w:t>
            </w:r>
            <w:r>
              <w:rPr>
                <w:rFonts w:hint="default" w:ascii="Times New Roman" w:hAnsi="Times New Roman" w:eastAsia="宋体" w:cs="Times New Roman"/>
                <w:color w:val="000000"/>
                <w:sz w:val="24"/>
              </w:rPr>
              <w:t>4号《建设项目竣工环境保护验收暂行办法》的有关规定，德惠市万宝镇超达傢木门加工厂</w:t>
            </w:r>
            <w:r>
              <w:rPr>
                <w:rFonts w:hint="default" w:ascii="宋体" w:hAnsi="宋体" w:eastAsia="宋体" w:cs="Times New Roman"/>
                <w:color w:val="auto"/>
                <w:sz w:val="24"/>
                <w:szCs w:val="24"/>
              </w:rPr>
              <w:t>开展了本次竣工环保验收工作，并委托吉林省</w:t>
            </w:r>
            <w:r>
              <w:rPr>
                <w:rFonts w:hint="default" w:ascii="宋体" w:hAnsi="宋体" w:eastAsia="宋体" w:cs="Times New Roman"/>
                <w:color w:val="auto"/>
                <w:sz w:val="24"/>
                <w:szCs w:val="24"/>
                <w:lang w:eastAsia="zh-CN"/>
              </w:rPr>
              <w:t>世翔</w:t>
            </w:r>
            <w:r>
              <w:rPr>
                <w:rFonts w:hint="default" w:ascii="宋体" w:hAnsi="宋体" w:eastAsia="宋体" w:cs="Times New Roman"/>
                <w:color w:val="auto"/>
                <w:sz w:val="24"/>
                <w:szCs w:val="24"/>
              </w:rPr>
              <w:t>环境科技有限公司于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日-</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日对该项目的污染物排放情况进行监测。</w:t>
            </w:r>
          </w:p>
          <w:p>
            <w:pPr>
              <w:spacing w:line="360" w:lineRule="auto"/>
              <w:ind w:firstLine="480"/>
              <w:rPr>
                <w:rFonts w:hint="eastAsia" w:ascii="Times New Roman" w:hAnsi="Times New Roman" w:cs="Times New Roman"/>
                <w:sz w:val="24"/>
              </w:rPr>
            </w:pPr>
            <w:r>
              <w:rPr>
                <w:rFonts w:hint="eastAsia" w:ascii="Times New Roman" w:hAnsi="Times New Roman" w:cs="Times New Roman"/>
                <w:sz w:val="24"/>
              </w:rPr>
              <w:t>通过验收监测</w:t>
            </w:r>
            <w:r>
              <w:rPr>
                <w:rFonts w:hint="eastAsia" w:ascii="Times New Roman" w:hAnsi="Times New Roman" w:cs="Times New Roman"/>
                <w:sz w:val="24"/>
                <w:lang w:eastAsia="zh-CN"/>
              </w:rPr>
              <w:t>报告</w:t>
            </w:r>
            <w:r>
              <w:rPr>
                <w:rFonts w:hint="eastAsia" w:ascii="Times New Roman" w:hAnsi="Times New Roman" w:cs="Times New Roman"/>
                <w:sz w:val="24"/>
              </w:rPr>
              <w:t>表明，验收期间生产工况正常，验收监测期间，本项目废水、废气、噪声等各项污染物监测结果基本满足环境保护验收要求，建议本项目通过验收。</w:t>
            </w:r>
          </w:p>
          <w:p>
            <w:pPr>
              <w:spacing w:line="360" w:lineRule="auto"/>
              <w:ind w:firstLine="480"/>
              <w:rPr>
                <w:rFonts w:hint="default" w:ascii="Times New Roman" w:hAnsi="Times New Roman" w:cs="Times New Roman"/>
                <w:sz w:val="24"/>
                <w:lang w:val="en-US" w:eastAsia="zh-CN"/>
              </w:rPr>
            </w:pPr>
            <w:r>
              <w:rPr>
                <w:rFonts w:hint="eastAsia" w:ascii="Times New Roman" w:hAnsi="Times New Roman" w:cs="Times New Roman"/>
                <w:sz w:val="24"/>
              </w:rPr>
              <w:t>吉林省世翔环境科技有限公司具有吉林省质量技术监督局颁发的《检验检测机构资质认定证书》（证书编号为160712050061），具备水、大气、噪声等检测能力。</w:t>
            </w:r>
          </w:p>
          <w:p>
            <w:pPr>
              <w:spacing w:line="360" w:lineRule="auto"/>
              <w:ind w:firstLine="480"/>
              <w:rPr>
                <w:color w:val="auto"/>
              </w:rPr>
            </w:pPr>
            <w:r>
              <w:rPr>
                <w:rFonts w:hint="eastAsia" w:ascii="Times New Roman" w:hAnsi="Times New Roman" w:cs="Times New Roman"/>
                <w:sz w:val="24"/>
                <w:lang w:val="zh-CN"/>
              </w:rPr>
              <w:t>德惠市万宝镇超达傢木门加工厂根据企业自身实际情况及建设内容，结合</w:t>
            </w:r>
            <w:r>
              <w:rPr>
                <w:rFonts w:hint="default" w:ascii="Times New Roman" w:hAnsi="Times New Roman" w:cs="Times New Roman"/>
                <w:sz w:val="24"/>
              </w:rPr>
              <w:t>吉林省</w:t>
            </w:r>
            <w:r>
              <w:rPr>
                <w:rFonts w:hint="eastAsia" w:ascii="Times New Roman" w:hAnsi="Times New Roman" w:cs="Times New Roman"/>
                <w:sz w:val="24"/>
                <w:lang w:eastAsia="zh-CN"/>
              </w:rPr>
              <w:t>世翔环境</w:t>
            </w:r>
            <w:r>
              <w:rPr>
                <w:rFonts w:hint="default" w:ascii="Times New Roman" w:hAnsi="Times New Roman" w:cs="Times New Roman"/>
                <w:sz w:val="24"/>
              </w:rPr>
              <w:t>科技有限公司</w:t>
            </w:r>
            <w:r>
              <w:rPr>
                <w:rFonts w:hint="eastAsia" w:ascii="Times New Roman" w:hAnsi="Times New Roman" w:cs="Times New Roman"/>
                <w:sz w:val="24"/>
                <w:lang w:val="zh-CN"/>
              </w:rPr>
              <w:t>的监测数据，秉承实事求是遵纪守</w:t>
            </w:r>
            <w:r>
              <w:rPr>
                <w:rFonts w:hint="eastAsia" w:ascii="Times New Roman" w:hAnsi="Times New Roman" w:cs="Times New Roman"/>
                <w:color w:val="auto"/>
                <w:sz w:val="24"/>
                <w:szCs w:val="24"/>
                <w:lang w:val="zh-CN"/>
              </w:rPr>
              <w:t>法的理念，编制了本验收报告。</w:t>
            </w:r>
          </w:p>
          <w:p>
            <w:pPr>
              <w:numPr>
                <w:ilvl w:val="0"/>
                <w:numId w:val="5"/>
              </w:numPr>
              <w:spacing w:before="62" w:beforeLines="20" w:line="360" w:lineRule="auto"/>
              <w:ind w:firstLine="480" w:firstLineChars="200"/>
              <w:rPr>
                <w:rFonts w:hint="eastAsia"/>
                <w:color w:val="000000"/>
                <w:sz w:val="24"/>
                <w:szCs w:val="24"/>
                <w:lang w:val="en-US" w:eastAsia="zh-CN"/>
              </w:rPr>
            </w:pPr>
            <w:r>
              <w:rPr>
                <w:rFonts w:hint="eastAsia"/>
                <w:color w:val="000000"/>
                <w:sz w:val="24"/>
                <w:szCs w:val="24"/>
                <w:lang w:val="en-US" w:eastAsia="zh-CN"/>
              </w:rPr>
              <w:t xml:space="preserve">污染设施更改调试说明                </w:t>
            </w:r>
          </w:p>
          <w:p>
            <w:pPr>
              <w:numPr>
                <w:ilvl w:val="0"/>
                <w:numId w:val="0"/>
              </w:numPr>
              <w:spacing w:before="62" w:beforeLines="20" w:line="360" w:lineRule="auto"/>
              <w:ind w:firstLine="480"/>
              <w:rPr>
                <w:rFonts w:hint="eastAsia"/>
                <w:color w:val="000000"/>
                <w:sz w:val="24"/>
                <w:szCs w:val="24"/>
                <w:lang w:val="en-US" w:eastAsia="zh-CN"/>
              </w:rPr>
            </w:pPr>
            <w:r>
              <w:rPr>
                <w:rFonts w:hint="eastAsia"/>
                <w:color w:val="000000"/>
                <w:sz w:val="24"/>
                <w:szCs w:val="24"/>
                <w:lang w:val="en-US" w:eastAsia="zh-CN"/>
              </w:rPr>
              <w:t xml:space="preserve">本项目未按照环评要求建设集中式粉尘排气筒，车间改建设为单机匹配的滤袋式除尘器。该设施的工作原理与布袋除尘器基本一致，设施上方设有脉冲，在作业时，内部的引风系统将颗粒物抽至滤袋或者滤筒内，将大颗粒的粉尘过滤吸附，再由脉冲向下冲击，定期清理即可。此设施除尘效率一般稳定在90％左右，能够确保污染物达标排放。  </w:t>
            </w:r>
          </w:p>
          <w:p>
            <w:pPr>
              <w:pStyle w:val="30"/>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9、</w:t>
            </w:r>
            <w:r>
              <w:rPr>
                <w:rFonts w:hint="default" w:ascii="Times New Roman" w:hAnsi="Times New Roman" w:eastAsia="宋体" w:cs="Times New Roman"/>
                <w:color w:val="000000"/>
                <w:sz w:val="24"/>
              </w:rPr>
              <w:t>环境管理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环境管理机构</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①</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机构组成</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该项目的实际情况，项目投入运营后，环境管理应由主要领导主管负责，根据项目的排污特点及所在地理位置，必须设立专门的环境管理部门，对该项目环境管理和环境监控负责，并受项目主管单位及当地环保局的监督和指导。</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②</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环保机构定员</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运营期应配备专（兼）职环保管理人员1～2人，专（兼）职环保人员应掌握环保基础知识，熟悉有关的环保法规、标准、规范等。</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企业环境管理机构的基本职能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企业环境管理机构是企业管理工作的职能部门，其基本职能有以下三个方面：</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①组织编制环境计划。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②对环境保护工作进行协调。</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③实施企业环境监督。</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运营期环境管理任务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①贯彻、宣传国家和地方的环保方针、政策和法律法规及其它环境保护制度、标准。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制定本企业的环保管理制度、环保技术经济政策，编制环境保护发展计划和年度实施计划，并作为企业生产经营目标的一个内容，纳入到发展规划和计划中。把污染物排放浓度、环保设施运行指标同其它指标一样进行考核。</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③查清污染源状况，建立污染源档案。</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④加强与上级主管环保部门的联系，会同有关单位做好环境预测，制定企业环境保护长远规划和年度计划，并督促实施。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⑤负责企业环保设施的日常运行管理工作，制定事故防范措施，一旦发生事故，组织污染源调查及控制工作，并及时总结经验教训。</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⑥负责对企业环保人员进行环境保护教育和技术培训，不断提高全厂各级管理人员和工作人员的环境保护意识和技术水平，提高污染控制的责任心，自觉为创造美好环境作出贡献，有效控制人为因素造成的污染，推动环境保护工作的发展。</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应急环境管理机制</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①严格执行环境管理“三同时”制度，医疗设施与污染防治措施，同时设计、同时施工、同时投产。</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②加强事故排放应急管理系统，建立应急事故处理制度。</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③为防止事故发生，应加强设施的维护和管理，提高设备的完好率。</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5 \* GB2</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⑸</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针对本项目实施过程中各阶段的具体情况，环境保护管理工作均由企业环境管理机构承担，各阶段职能</w:t>
            </w:r>
            <w:r>
              <w:rPr>
                <w:rFonts w:hint="eastAsia" w:ascii="Times New Roman" w:hAnsi="Times New Roman" w:cs="Times New Roman"/>
                <w:color w:val="000000"/>
                <w:sz w:val="24"/>
                <w:lang w:eastAsia="zh-CN"/>
              </w:rPr>
              <w:t>下表</w:t>
            </w:r>
            <w:r>
              <w:rPr>
                <w:rFonts w:hint="default" w:ascii="Times New Roman" w:hAnsi="Times New Roman" w:eastAsia="宋体" w:cs="Times New Roman"/>
                <w:color w:val="000000"/>
                <w:sz w:val="24"/>
              </w:rPr>
              <w:t>。</w:t>
            </w: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环境管理机构各阶段主要管理计划</w:t>
            </w:r>
          </w:p>
          <w:tbl>
            <w:tblPr>
              <w:tblStyle w:val="26"/>
              <w:tblW w:w="86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833" w:type="dxa"/>
                  <w:vAlign w:val="center"/>
                </w:tcPr>
                <w:p>
                  <w:pPr>
                    <w:pStyle w:val="30"/>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阶段</w:t>
                  </w:r>
                </w:p>
              </w:tc>
              <w:tc>
                <w:tcPr>
                  <w:tcW w:w="7866" w:type="dxa"/>
                  <w:vAlign w:val="center"/>
                </w:tcPr>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主要职责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7" w:hRule="atLeast"/>
              </w:trPr>
              <w:tc>
                <w:tcPr>
                  <w:tcW w:w="833" w:type="dxa"/>
                  <w:vAlign w:val="center"/>
                </w:tcPr>
                <w:p>
                  <w:pPr>
                    <w:pStyle w:val="30"/>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营运期</w:t>
                  </w:r>
                </w:p>
              </w:tc>
              <w:tc>
                <w:tcPr>
                  <w:tcW w:w="7866" w:type="dxa"/>
                  <w:vAlign w:val="center"/>
                </w:tcPr>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⑴积极贯彻执行各项环保法律、法规、标准和规章制度；</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⑵编制全厂性的环境保护规划和计划，并组织实施；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⑶负责执行和监督厂内的各项规章制度的落实，及时将监测数据汇总、存档，并建立完备的环境保护档案；</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⑷定期组织人员对档案进行分析和研究，及时发现并处理设备运行过程中出现的问题；</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⑸协同上级环保部门进行污染事故的调查和处理。</w:t>
                  </w:r>
                </w:p>
              </w:tc>
            </w:tr>
          </w:tbl>
          <w:p>
            <w:pPr>
              <w:pStyle w:val="30"/>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3、</w:t>
            </w:r>
            <w:r>
              <w:rPr>
                <w:rFonts w:hint="default" w:ascii="Times New Roman" w:hAnsi="Times New Roman" w:eastAsia="宋体" w:cs="Times New Roman"/>
                <w:color w:val="000000"/>
                <w:sz w:val="24"/>
              </w:rPr>
              <w:t>环境监测</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监测是对建设项目营运期的环境影响及环境保护措施进行监督和监测，主要任务是对企业生产经营过程中所排放的各类污染物进行监测与监督，提出避免和减缓不良环境影响的对策和建议，以达到及时掌握全厂污染源排放情况和厂区环境质量的变化趋势，监督企业安全经营，配合环境管理工作的改进与完善，防止污染事故发生，经常进行各类环境监测仪器设备的维护、检验等工作，以确保全院环境监测工作的正常进行，为全院污染防治和环境管理提供科学依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监测机构</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企业应委托有相应资质和能力的环境监测单位开展环境监测工作。</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例行对全厂生产经营过程中排放的污染物进行定期或不定期采样监测，掌握各种污染物产生和排放情况，为防治污染提供科学依据。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①在有关环境管理部门的领导下，完成全厂监测任务，重点是对废气、废水和噪声污染物进行监测。</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②及时准确地向环保主管部门提供可靠数据及资料。</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③建立监测分析数据档案，并定期向上级主管部门报送监测数据。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①噪声监测计划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对项目厂界外1m处噪声进行定期监测，每年一次，每次1昼、夜。</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②废气监测计划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厂界上风向设置一个监测点，下风向设置3个监测点，监测项目为颗粒物，每半年监测一次</w:t>
            </w:r>
            <w:r>
              <w:rPr>
                <w:rFonts w:hint="eastAsia" w:ascii="Times New Roman" w:hAnsi="Times New Roman" w:eastAsia="宋体" w:cs="Times New Roman"/>
                <w:color w:val="000000"/>
                <w:sz w:val="24"/>
                <w:lang w:eastAsia="zh-CN"/>
              </w:rPr>
              <w:t>；胶合废气排气筒设置一个监测点，监测项目为非甲烷总烃，每半年监测一次</w:t>
            </w:r>
            <w:r>
              <w:rPr>
                <w:rFonts w:hint="default" w:ascii="Times New Roman" w:hAnsi="Times New Roman" w:eastAsia="宋体" w:cs="Times New Roman"/>
                <w:color w:val="000000"/>
                <w:sz w:val="24"/>
              </w:rPr>
              <w:t>。</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排污口位置及规范化管理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国家标准《环境保护图形标志-排放口（源）》和国家环境保护总局《排污口规范化整治要求》（试行）的技术要求，企业所有排放口（包括水、气、声、渣）必须按照“便于采样、便于计量检测、便于日常监督检查”的原则来规范化要求，设置与之相适应的环境保护图形标志牌和排污口分布图，同时对污水排放口安装流量计，对污染物治理设施安装运行监控装置、排污口的规范化要符合当地环保部门的有关要求。</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保护图形标志牌由国家环保总局统一定点制作，并由环境监理部门根据企业排污情况统一向国家环保局订购。排污口分布图由环境监理部门统一绘制，排放一般污染物排污口（源），设置提示牌标志牌，排放有毒有害等污染物的排污口设置警告式标志牌。</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规范化排污口的有关设置（如图形标志牌、计量装置、监控装置等）属环保设施，排污单位必须负责日常的维护保养，任何单位和个人不得擅自拆除，如需调整的须报环境监理部门同意并办理调整手续。</w:t>
            </w:r>
          </w:p>
          <w:p>
            <w:pPr>
              <w:numPr>
                <w:ilvl w:val="0"/>
                <w:numId w:val="0"/>
              </w:numPr>
              <w:spacing w:before="62" w:beforeLines="20" w:line="360" w:lineRule="auto"/>
              <w:ind w:firstLine="480"/>
              <w:rPr>
                <w:rFonts w:hint="default" w:eastAsia="宋体"/>
                <w:color w:val="000000"/>
                <w:szCs w:val="21"/>
                <w:lang w:val="en-US" w:eastAsia="zh-CN"/>
              </w:rPr>
            </w:pPr>
            <w:r>
              <w:rPr>
                <w:rFonts w:hint="eastAsia"/>
                <w:color w:val="000000"/>
                <w:sz w:val="24"/>
                <w:szCs w:val="24"/>
                <w:lang w:val="en-US" w:eastAsia="zh-CN"/>
              </w:rPr>
              <w:t xml:space="preserve">我公司承诺，严格遵守国家法律法规，实事求是，不弄虚作假，对以上内容承担法律责任，验收结果我公司将对社会公众公开。                                  </w:t>
            </w:r>
          </w:p>
        </w:tc>
      </w:tr>
      <w:bookmarkEnd w:id="3"/>
      <w:bookmarkEnd w:id="4"/>
    </w:tbl>
    <w:p>
      <w:pPr>
        <w:rPr>
          <w:rFonts w:ascii="宋体" w:hAnsi="宋体" w:cs="宋体"/>
          <w:kern w:val="0"/>
          <w:sz w:val="24"/>
        </w:rPr>
      </w:pPr>
    </w:p>
    <w:p>
      <w:pPr>
        <w:sectPr>
          <w:headerReference r:id="rId6" w:type="default"/>
          <w:footerReference r:id="rId7" w:type="default"/>
          <w:pgSz w:w="11906" w:h="16838"/>
          <w:pgMar w:top="1440" w:right="1077" w:bottom="1440" w:left="1077" w:header="851" w:footer="992" w:gutter="284"/>
          <w:pgBorders>
            <w:top w:val="none" w:sz="0" w:space="0"/>
            <w:left w:val="none" w:sz="0" w:space="0"/>
            <w:bottom w:val="none" w:sz="0" w:space="0"/>
            <w:right w:val="none" w:sz="0" w:space="0"/>
          </w:pgBorders>
          <w:pgNumType w:start="1"/>
          <w:cols w:space="425" w:num="1"/>
          <w:docGrid w:type="lines" w:linePitch="312" w:charSpace="0"/>
        </w:sectPr>
      </w:pPr>
    </w:p>
    <w:p/>
    <w:p>
      <w:pPr>
        <w:ind w:firstLine="482"/>
        <w:jc w:val="center"/>
        <w:rPr>
          <w:rFonts w:hint="eastAsia" w:eastAsia="黑体"/>
          <w:lang w:val="en-US" w:eastAsia="zh-CN"/>
        </w:rPr>
      </w:pPr>
      <w:r>
        <w:rPr>
          <w:rFonts w:eastAsia="黑体"/>
          <w:b/>
          <w:bCs/>
        </w:rPr>
        <w:t>建设项目工程竣工环境保护</w:t>
      </w:r>
      <w:r>
        <w:rPr>
          <w:rFonts w:eastAsia="Tahoma"/>
          <w:b/>
          <w:bCs/>
        </w:rPr>
        <w:t>“</w:t>
      </w:r>
      <w:r>
        <w:rPr>
          <w:rFonts w:eastAsia="黑体"/>
          <w:b/>
          <w:bCs/>
        </w:rPr>
        <w:t>三同时</w:t>
      </w:r>
      <w:r>
        <w:rPr>
          <w:rFonts w:eastAsia="Tahoma"/>
          <w:b/>
          <w:bCs/>
        </w:rPr>
        <w:t>”</w:t>
      </w:r>
      <w:r>
        <w:rPr>
          <w:rFonts w:eastAsia="黑体"/>
          <w:b/>
          <w:bCs/>
        </w:rPr>
        <w:t>验收登记表</w:t>
      </w:r>
      <w:r>
        <w:rPr>
          <w:rFonts w:hint="eastAsia" w:eastAsia="黑体"/>
          <w:b/>
          <w:bCs/>
          <w:lang w:val="en-US" w:eastAsia="zh-CN"/>
        </w:rPr>
        <w:t xml:space="preserve"> </w:t>
      </w:r>
    </w:p>
    <w:p>
      <w:pPr>
        <w:tabs>
          <w:tab w:val="left" w:pos="4957"/>
          <w:tab w:val="left" w:pos="9807"/>
        </w:tabs>
        <w:ind w:firstLine="402"/>
        <w:jc w:val="left"/>
        <w:rPr>
          <w:b/>
          <w:bCs/>
          <w:w w:val="95"/>
          <w:szCs w:val="21"/>
        </w:rPr>
      </w:pPr>
      <w:r>
        <w:rPr>
          <w:b/>
          <w:bCs/>
          <w:w w:val="95"/>
          <w:szCs w:val="21"/>
        </w:rPr>
        <w:t>填表单位（盖章）：</w:t>
      </w:r>
      <w:r>
        <w:rPr>
          <w:rFonts w:hint="eastAsia"/>
          <w:b/>
          <w:bCs/>
          <w:w w:val="95"/>
          <w:szCs w:val="21"/>
        </w:rPr>
        <w:t>德惠市万宝镇超达傢木门加工厂</w:t>
      </w:r>
      <w:r>
        <w:rPr>
          <w:b/>
          <w:bCs/>
          <w:w w:val="95"/>
          <w:szCs w:val="21"/>
        </w:rPr>
        <w:t xml:space="preserve">       </w:t>
      </w:r>
      <w:r>
        <w:rPr>
          <w:rFonts w:hint="eastAsia"/>
          <w:b/>
          <w:bCs/>
          <w:w w:val="95"/>
          <w:szCs w:val="21"/>
          <w:lang w:val="en-US" w:eastAsia="zh-CN"/>
        </w:rPr>
        <w:t xml:space="preserve">  </w:t>
      </w:r>
      <w:r>
        <w:rPr>
          <w:b/>
          <w:bCs/>
          <w:w w:val="95"/>
          <w:szCs w:val="21"/>
        </w:rPr>
        <w:t>填表人（签字）：</w:t>
      </w:r>
      <w:r>
        <w:rPr>
          <w:rFonts w:hint="eastAsia"/>
          <w:b/>
          <w:bCs/>
          <w:w w:val="95"/>
          <w:szCs w:val="21"/>
        </w:rPr>
        <w:t>夏秀峰</w:t>
      </w:r>
      <w:r>
        <w:rPr>
          <w:b/>
          <w:bCs/>
          <w:w w:val="95"/>
          <w:szCs w:val="21"/>
        </w:rPr>
        <w:tab/>
      </w:r>
      <w:r>
        <w:rPr>
          <w:rFonts w:hint="eastAsia"/>
          <w:b/>
          <w:bCs/>
          <w:w w:val="95"/>
          <w:szCs w:val="21"/>
          <w:lang w:val="en-US" w:eastAsia="zh-CN"/>
        </w:rPr>
        <w:t xml:space="preserve">           </w:t>
      </w:r>
      <w:r>
        <w:rPr>
          <w:b/>
          <w:bCs/>
          <w:w w:val="95"/>
          <w:szCs w:val="21"/>
        </w:rPr>
        <w:t>项目经办人（签字）：</w:t>
      </w:r>
      <w:r>
        <w:rPr>
          <w:rFonts w:hint="eastAsia"/>
          <w:b/>
          <w:bCs/>
          <w:w w:val="95"/>
          <w:szCs w:val="21"/>
        </w:rPr>
        <w:t>夏秀峰</w:t>
      </w:r>
    </w:p>
    <w:p>
      <w:pPr>
        <w:ind w:firstLine="40"/>
        <w:rPr>
          <w:b/>
          <w:bCs/>
          <w:sz w:val="2"/>
          <w:szCs w:val="2"/>
        </w:rPr>
      </w:pPr>
    </w:p>
    <w:tbl>
      <w:tblPr>
        <w:tblStyle w:val="26"/>
        <w:tblW w:w="13940" w:type="dxa"/>
        <w:jc w:val="center"/>
        <w:tblLayout w:type="fixed"/>
        <w:tblCellMar>
          <w:top w:w="0" w:type="dxa"/>
          <w:left w:w="0" w:type="dxa"/>
          <w:bottom w:w="0" w:type="dxa"/>
          <w:right w:w="0" w:type="dxa"/>
        </w:tblCellMar>
      </w:tblPr>
      <w:tblGrid>
        <w:gridCol w:w="525"/>
        <w:gridCol w:w="104"/>
        <w:gridCol w:w="986"/>
        <w:gridCol w:w="761"/>
        <w:gridCol w:w="498"/>
        <w:gridCol w:w="171"/>
        <w:gridCol w:w="994"/>
        <w:gridCol w:w="209"/>
        <w:gridCol w:w="482"/>
        <w:gridCol w:w="85"/>
        <w:gridCol w:w="187"/>
        <w:gridCol w:w="872"/>
        <w:gridCol w:w="333"/>
        <w:gridCol w:w="501"/>
        <w:gridCol w:w="130"/>
        <w:gridCol w:w="236"/>
        <w:gridCol w:w="691"/>
        <w:gridCol w:w="677"/>
        <w:gridCol w:w="332"/>
        <w:gridCol w:w="10"/>
        <w:gridCol w:w="846"/>
        <w:gridCol w:w="535"/>
        <w:gridCol w:w="117"/>
        <w:gridCol w:w="486"/>
        <w:gridCol w:w="416"/>
        <w:gridCol w:w="96"/>
        <w:gridCol w:w="331"/>
        <w:gridCol w:w="548"/>
        <w:gridCol w:w="856"/>
        <w:gridCol w:w="321"/>
        <w:gridCol w:w="604"/>
      </w:tblGrid>
      <w:tr>
        <w:tblPrEx>
          <w:tblCellMar>
            <w:top w:w="0" w:type="dxa"/>
            <w:left w:w="0" w:type="dxa"/>
            <w:bottom w:w="0" w:type="dxa"/>
            <w:right w:w="0" w:type="dxa"/>
          </w:tblCellMar>
        </w:tblPrEx>
        <w:trPr>
          <w:trHeight w:val="563" w:hRule="exact"/>
          <w:jc w:val="center"/>
        </w:trPr>
        <w:tc>
          <w:tcPr>
            <w:tcW w:w="525" w:type="dxa"/>
            <w:vMerge w:val="restart"/>
            <w:tcBorders>
              <w:top w:val="single" w:color="000000" w:sz="4" w:space="0"/>
              <w:left w:val="single" w:color="000000" w:sz="4" w:space="0"/>
              <w:right w:val="single" w:color="000000" w:sz="4" w:space="0"/>
            </w:tcBorders>
            <w:vAlign w:val="center"/>
          </w:tcPr>
          <w:p>
            <w:pPr>
              <w:pStyle w:val="60"/>
              <w:spacing w:line="140" w:lineRule="atLeast"/>
              <w:jc w:val="center"/>
              <w:rPr>
                <w:b/>
                <w:bCs/>
                <w:spacing w:val="-1"/>
                <w:w w:val="99"/>
                <w:sz w:val="15"/>
                <w:szCs w:val="15"/>
              </w:rPr>
            </w:pPr>
            <w:r>
              <w:rPr>
                <w:b/>
                <w:bCs/>
                <w:spacing w:val="-1"/>
                <w:w w:val="99"/>
                <w:sz w:val="15"/>
                <w:szCs w:val="15"/>
              </w:rPr>
              <w:t>建</w:t>
            </w:r>
          </w:p>
          <w:p>
            <w:pPr>
              <w:pStyle w:val="60"/>
              <w:spacing w:line="140" w:lineRule="atLeast"/>
              <w:jc w:val="center"/>
              <w:rPr>
                <w:b/>
                <w:bCs/>
                <w:spacing w:val="2"/>
                <w:w w:val="99"/>
                <w:sz w:val="15"/>
                <w:szCs w:val="15"/>
              </w:rPr>
            </w:pPr>
            <w:r>
              <w:rPr>
                <w:b/>
                <w:bCs/>
                <w:spacing w:val="2"/>
                <w:w w:val="99"/>
                <w:sz w:val="15"/>
                <w:szCs w:val="15"/>
              </w:rPr>
              <w:t>设</w:t>
            </w:r>
          </w:p>
          <w:p>
            <w:pPr>
              <w:pStyle w:val="60"/>
              <w:spacing w:line="140" w:lineRule="atLeast"/>
              <w:jc w:val="center"/>
              <w:rPr>
                <w:b/>
                <w:bCs/>
                <w:spacing w:val="-1"/>
                <w:w w:val="99"/>
                <w:sz w:val="15"/>
                <w:szCs w:val="15"/>
              </w:rPr>
            </w:pPr>
            <w:r>
              <w:rPr>
                <w:b/>
                <w:bCs/>
                <w:spacing w:val="-1"/>
                <w:w w:val="99"/>
                <w:sz w:val="15"/>
                <w:szCs w:val="15"/>
              </w:rPr>
              <w:t>项</w:t>
            </w:r>
          </w:p>
          <w:p>
            <w:pPr>
              <w:pStyle w:val="60"/>
              <w:spacing w:line="140" w:lineRule="atLeast"/>
              <w:jc w:val="center"/>
              <w:rPr>
                <w:sz w:val="15"/>
                <w:szCs w:val="15"/>
              </w:rPr>
            </w:pPr>
            <w:r>
              <w:rPr>
                <w:b/>
                <w:bCs/>
                <w:w w:val="99"/>
                <w:sz w:val="15"/>
                <w:szCs w:val="15"/>
              </w:rPr>
              <w:t>目</w:t>
            </w: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项目名称</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eastAsia="宋体"/>
                <w:sz w:val="15"/>
                <w:szCs w:val="15"/>
                <w:lang w:val="en-US" w:eastAsia="zh-CN"/>
              </w:rPr>
              <w:t>德惠市万宝镇超达傢木门加工厂年产免漆强化木门4000套项目</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项目代码</w:t>
            </w:r>
          </w:p>
        </w:tc>
        <w:tc>
          <w:tcPr>
            <w:tcW w:w="1840" w:type="dxa"/>
            <w:gridSpan w:val="5"/>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sz w:val="15"/>
                <w:szCs w:val="15"/>
              </w:rPr>
            </w:pPr>
            <w:r>
              <w:rPr>
                <w:rFonts w:hint="eastAsia"/>
                <w:sz w:val="15"/>
                <w:szCs w:val="15"/>
              </w:rPr>
              <w:t>/</w:t>
            </w:r>
          </w:p>
        </w:tc>
        <w:tc>
          <w:tcPr>
            <w:tcW w:w="1329"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建设地点</w:t>
            </w:r>
          </w:p>
        </w:tc>
        <w:tc>
          <w:tcPr>
            <w:tcW w:w="2329" w:type="dxa"/>
            <w:gridSpan w:val="4"/>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rFonts w:hint="default" w:eastAsia="宋体"/>
                <w:sz w:val="15"/>
                <w:szCs w:val="15"/>
                <w:lang w:val="en-US" w:eastAsia="zh-CN"/>
              </w:rPr>
            </w:pPr>
            <w:r>
              <w:rPr>
                <w:rFonts w:hint="default" w:eastAsia="宋体"/>
                <w:sz w:val="15"/>
                <w:szCs w:val="15"/>
                <w:lang w:val="en-US" w:eastAsia="zh-CN"/>
              </w:rPr>
              <w:t>德惠市万宝镇大王家村十社</w:t>
            </w:r>
          </w:p>
        </w:tc>
      </w:tr>
      <w:tr>
        <w:tblPrEx>
          <w:tblCellMar>
            <w:top w:w="0" w:type="dxa"/>
            <w:left w:w="0" w:type="dxa"/>
            <w:bottom w:w="0" w:type="dxa"/>
            <w:right w:w="0" w:type="dxa"/>
          </w:tblCellMar>
        </w:tblPrEx>
        <w:trPr>
          <w:trHeight w:val="30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行业类别（分类管理名录）</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C2110木质家具制造</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建设性质</w:t>
            </w:r>
          </w:p>
        </w:tc>
        <w:tc>
          <w:tcPr>
            <w:tcW w:w="5498" w:type="dxa"/>
            <w:gridSpan w:val="13"/>
            <w:tcBorders>
              <w:top w:val="single" w:color="000000" w:sz="4" w:space="0"/>
              <w:left w:val="single" w:color="000000" w:sz="4" w:space="0"/>
              <w:bottom w:val="single" w:color="000000" w:sz="4" w:space="0"/>
              <w:right w:val="single" w:color="000000" w:sz="4" w:space="0"/>
            </w:tcBorders>
            <w:vAlign w:val="center"/>
          </w:tcPr>
          <w:p>
            <w:pPr>
              <w:pStyle w:val="60"/>
              <w:spacing w:before="60" w:beforeLines="25"/>
              <w:ind w:left="103"/>
              <w:jc w:val="center"/>
              <w:rPr>
                <w:sz w:val="15"/>
                <w:szCs w:val="15"/>
              </w:rPr>
            </w:pPr>
            <w:r>
              <w:pict>
                <v:rect id="矩形 3" o:spid="_x0000_s2091" o:spt="1" style="position:absolute;left:0pt;margin-left:111.85pt;margin-top:4.55pt;height:5.95pt;width:5.95pt;z-index:251701248;mso-width-relative:page;mso-height-relative:page;"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">
                  <v:path/>
                  <v:fill type="gradient" on="t" angle="90" focus="100%" focussize="0f,0f">
                    <o:fill type="gradientUnscaled" v:ext="backwardCompatible"/>
                  </v:fill>
                  <v:stroke weight="1.25pt"/>
                  <v:imagedata o:title=""/>
                  <o:lock v:ext="edit"/>
                </v:rect>
              </w:pict>
            </w:r>
            <w:r>
              <w:rPr>
                <w:rFonts w:hint="eastAsia"/>
                <w:b/>
                <w:bCs/>
                <w:sz w:val="15"/>
                <w:szCs w:val="15"/>
              </w:rPr>
              <w:t>■</w:t>
            </w:r>
            <w:r>
              <w:pict>
                <v:rect id="矩形 1" o:spid="_x0000_s2092" o:spt="1" style="position:absolute;left:0pt;margin-left:171.85pt;margin-top:4.55pt;height:5.95pt;width:5.95pt;z-index:251700224;mso-width-relative:page;mso-height-relative:page;"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">
                  <v:path/>
                  <v:fill type="gradient" on="t" angle="90" focus="100%" focussize="0f,0f">
                    <o:fill type="gradientUnscaled" v:ext="backwardCompatible"/>
                  </v:fill>
                  <v:stroke weight="1.25pt"/>
                  <v:imagedata o:title=""/>
                  <o:lock v:ext="edit"/>
                </v:rect>
              </w:pict>
            </w:r>
            <w:r>
              <w:rPr>
                <w:b/>
                <w:bCs/>
                <w:sz w:val="15"/>
                <w:szCs w:val="15"/>
              </w:rPr>
              <w:t>新建          改扩建</w:t>
            </w:r>
            <w:r>
              <w:rPr>
                <w:b/>
                <w:bCs/>
                <w:spacing w:val="32"/>
                <w:sz w:val="15"/>
                <w:szCs w:val="15"/>
              </w:rPr>
              <w:t xml:space="preserve">      </w:t>
            </w:r>
            <w:r>
              <w:rPr>
                <w:b/>
                <w:bCs/>
                <w:sz w:val="15"/>
                <w:szCs w:val="15"/>
              </w:rPr>
              <w:t>技术改造</w:t>
            </w:r>
          </w:p>
        </w:tc>
      </w:tr>
      <w:tr>
        <w:tblPrEx>
          <w:tblCellMar>
            <w:top w:w="0" w:type="dxa"/>
            <w:left w:w="0" w:type="dxa"/>
            <w:bottom w:w="0" w:type="dxa"/>
            <w:right w:w="0" w:type="dxa"/>
          </w:tblCellMar>
        </w:tblPrEx>
        <w:trPr>
          <w:trHeight w:val="45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设计生产能力</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年产免漆强化木门4000套</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实际生产能力</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年产免漆强化木门4000套</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环评单位</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eastAsia="宋体"/>
                <w:sz w:val="15"/>
                <w:szCs w:val="15"/>
                <w:lang w:eastAsia="zh-CN"/>
              </w:rPr>
              <w:t>吉林省广信工程技术咨询有限公司</w:t>
            </w:r>
          </w:p>
        </w:tc>
      </w:tr>
      <w:tr>
        <w:tblPrEx>
          <w:tblCellMar>
            <w:top w:w="0" w:type="dxa"/>
            <w:left w:w="0" w:type="dxa"/>
            <w:bottom w:w="0" w:type="dxa"/>
            <w:right w:w="0" w:type="dxa"/>
          </w:tblCellMar>
        </w:tblPrEx>
        <w:trPr>
          <w:trHeight w:val="294"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环评文件审批机关</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5"/>
                <w:szCs w:val="15"/>
                <w:lang w:eastAsia="zh-CN"/>
              </w:rPr>
            </w:pPr>
            <w:r>
              <w:rPr>
                <w:rFonts w:hint="eastAsia"/>
                <w:color w:val="auto"/>
                <w:sz w:val="15"/>
                <w:szCs w:val="15"/>
                <w:lang w:eastAsia="zh-CN"/>
              </w:rPr>
              <w:t>长春市生态环境局德惠市分局</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color w:val="auto"/>
                <w:sz w:val="15"/>
                <w:szCs w:val="15"/>
              </w:rPr>
            </w:pPr>
            <w:r>
              <w:rPr>
                <w:b/>
                <w:bCs/>
                <w:color w:val="auto"/>
                <w:sz w:val="15"/>
                <w:szCs w:val="15"/>
              </w:rPr>
              <w:t>审批文号</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5"/>
                <w:szCs w:val="15"/>
                <w:lang w:val="en-US" w:eastAsia="zh-CN"/>
              </w:rPr>
            </w:pPr>
            <w:r>
              <w:rPr>
                <w:rFonts w:hint="eastAsia"/>
                <w:color w:val="auto"/>
                <w:sz w:val="15"/>
                <w:szCs w:val="15"/>
                <w:lang w:eastAsia="zh-CN"/>
              </w:rPr>
              <w:t>德环审字</w:t>
            </w:r>
            <w:r>
              <w:rPr>
                <w:rFonts w:hint="eastAsia"/>
                <w:color w:val="auto"/>
                <w:sz w:val="15"/>
                <w:szCs w:val="15"/>
                <w:lang w:val="en-US" w:eastAsia="zh-CN"/>
              </w:rPr>
              <w:t>【2018】76号</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环评文件类型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报告表</w:t>
            </w:r>
          </w:p>
        </w:tc>
      </w:tr>
      <w:tr>
        <w:tblPrEx>
          <w:tblCellMar>
            <w:top w:w="0" w:type="dxa"/>
            <w:left w:w="0" w:type="dxa"/>
            <w:bottom w:w="0" w:type="dxa"/>
            <w:right w:w="0" w:type="dxa"/>
          </w:tblCellMar>
        </w:tblPrEx>
        <w:trPr>
          <w:trHeight w:val="317"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开工日期</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color w:val="auto"/>
                <w:sz w:val="15"/>
                <w:szCs w:val="15"/>
              </w:rPr>
            </w:pPr>
            <w:r>
              <w:rPr>
                <w:rFonts w:hint="eastAsia"/>
                <w:color w:val="auto"/>
                <w:sz w:val="15"/>
                <w:szCs w:val="15"/>
              </w:rPr>
              <w:t>2</w:t>
            </w:r>
            <w:r>
              <w:rPr>
                <w:color w:val="auto"/>
                <w:sz w:val="15"/>
                <w:szCs w:val="15"/>
              </w:rPr>
              <w:t>01</w:t>
            </w:r>
            <w:r>
              <w:rPr>
                <w:rFonts w:hint="eastAsia"/>
                <w:color w:val="auto"/>
                <w:sz w:val="15"/>
                <w:szCs w:val="15"/>
                <w:lang w:val="en-US" w:eastAsia="zh-CN"/>
              </w:rPr>
              <w:t>9</w:t>
            </w:r>
            <w:r>
              <w:rPr>
                <w:rFonts w:hint="eastAsia"/>
                <w:color w:val="auto"/>
                <w:sz w:val="15"/>
                <w:szCs w:val="15"/>
              </w:rPr>
              <w:t>年</w:t>
            </w:r>
            <w:r>
              <w:rPr>
                <w:rFonts w:hint="eastAsia"/>
                <w:color w:val="auto"/>
                <w:sz w:val="15"/>
                <w:szCs w:val="15"/>
                <w:lang w:val="en-US" w:eastAsia="zh-CN"/>
              </w:rPr>
              <w:t>3</w:t>
            </w:r>
            <w:r>
              <w:rPr>
                <w:rFonts w:hint="eastAsia"/>
                <w:color w:val="auto"/>
                <w:sz w:val="15"/>
                <w:szCs w:val="15"/>
              </w:rPr>
              <w:t>月</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color w:val="auto"/>
                <w:sz w:val="15"/>
                <w:szCs w:val="15"/>
              </w:rPr>
            </w:pPr>
            <w:r>
              <w:rPr>
                <w:b/>
                <w:bCs/>
                <w:color w:val="auto"/>
                <w:sz w:val="15"/>
                <w:szCs w:val="15"/>
              </w:rPr>
              <w:t>竣工日期</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color w:val="auto"/>
                <w:sz w:val="15"/>
                <w:szCs w:val="15"/>
              </w:rPr>
            </w:pPr>
            <w:r>
              <w:rPr>
                <w:rFonts w:hint="eastAsia"/>
                <w:color w:val="auto"/>
                <w:sz w:val="15"/>
                <w:szCs w:val="15"/>
              </w:rPr>
              <w:t>2</w:t>
            </w:r>
            <w:r>
              <w:rPr>
                <w:color w:val="auto"/>
                <w:sz w:val="15"/>
                <w:szCs w:val="15"/>
              </w:rPr>
              <w:t>01</w:t>
            </w:r>
            <w:r>
              <w:rPr>
                <w:rFonts w:hint="eastAsia"/>
                <w:color w:val="auto"/>
                <w:sz w:val="15"/>
                <w:szCs w:val="15"/>
                <w:lang w:val="en-US" w:eastAsia="zh-CN"/>
              </w:rPr>
              <w:t>9</w:t>
            </w:r>
            <w:r>
              <w:rPr>
                <w:rFonts w:hint="eastAsia"/>
                <w:color w:val="auto"/>
                <w:sz w:val="15"/>
                <w:szCs w:val="15"/>
              </w:rPr>
              <w:t>年</w:t>
            </w:r>
            <w:r>
              <w:rPr>
                <w:rFonts w:hint="eastAsia"/>
                <w:color w:val="auto"/>
                <w:sz w:val="15"/>
                <w:szCs w:val="15"/>
                <w:lang w:val="en-US" w:eastAsia="zh-CN"/>
              </w:rPr>
              <w:t>6</w:t>
            </w:r>
            <w:r>
              <w:rPr>
                <w:rFonts w:hint="eastAsia"/>
                <w:color w:val="auto"/>
                <w:sz w:val="15"/>
                <w:szCs w:val="15"/>
              </w:rPr>
              <w:t>月</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排污许可证申领时间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blPrEx>
          <w:tblCellMar>
            <w:top w:w="0" w:type="dxa"/>
            <w:left w:w="0" w:type="dxa"/>
            <w:bottom w:w="0" w:type="dxa"/>
            <w:right w:w="0" w:type="dxa"/>
          </w:tblCellMar>
        </w:tblPrEx>
        <w:trPr>
          <w:trHeight w:val="275"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环保设施设计单位</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环保设施施工单位</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本工程排污许可证编号</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blPrEx>
          <w:tblCellMar>
            <w:top w:w="0" w:type="dxa"/>
            <w:left w:w="0" w:type="dxa"/>
            <w:bottom w:w="0" w:type="dxa"/>
            <w:right w:w="0" w:type="dxa"/>
          </w:tblCellMar>
        </w:tblPrEx>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验收</w:t>
            </w:r>
            <w:r>
              <w:rPr>
                <w:rFonts w:hint="eastAsia"/>
                <w:b/>
                <w:bCs/>
                <w:sz w:val="15"/>
                <w:szCs w:val="15"/>
                <w:lang w:eastAsia="zh-CN"/>
              </w:rPr>
              <w:t>监测</w:t>
            </w:r>
            <w:r>
              <w:rPr>
                <w:b/>
                <w:bCs/>
                <w:sz w:val="15"/>
                <w:szCs w:val="15"/>
              </w:rPr>
              <w:t>单位</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环保设施监测单位</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验收监测时工况</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lang w:val="en-US" w:eastAsia="zh-CN"/>
              </w:rPr>
              <w:t>10</w:t>
            </w:r>
            <w:r>
              <w:rPr>
                <w:sz w:val="15"/>
                <w:szCs w:val="15"/>
              </w:rPr>
              <w:t>0</w:t>
            </w:r>
            <w:r>
              <w:rPr>
                <w:rFonts w:hint="eastAsia"/>
                <w:sz w:val="15"/>
                <w:szCs w:val="15"/>
              </w:rPr>
              <w:t>%</w:t>
            </w:r>
          </w:p>
        </w:tc>
      </w:tr>
      <w:tr>
        <w:tblPrEx>
          <w:tblCellMar>
            <w:top w:w="0" w:type="dxa"/>
            <w:left w:w="0" w:type="dxa"/>
            <w:bottom w:w="0" w:type="dxa"/>
            <w:right w:w="0" w:type="dxa"/>
          </w:tblCellMar>
        </w:tblPrEx>
        <w:trPr>
          <w:trHeight w:val="243"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投资总概算（万元）</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100.0</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环保投资总概算（万元）</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13.0</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13.0%</w:t>
            </w:r>
          </w:p>
        </w:tc>
      </w:tr>
      <w:tr>
        <w:tblPrEx>
          <w:tblCellMar>
            <w:top w:w="0" w:type="dxa"/>
            <w:left w:w="0" w:type="dxa"/>
            <w:bottom w:w="0" w:type="dxa"/>
            <w:right w:w="0" w:type="dxa"/>
          </w:tblCellMar>
        </w:tblPrEx>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实际总投资</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100.0</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实际环保投资（万元）</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10.0%</w:t>
            </w:r>
          </w:p>
        </w:tc>
      </w:tr>
      <w:tr>
        <w:tblPrEx>
          <w:tblCellMar>
            <w:top w:w="0" w:type="dxa"/>
            <w:left w:w="0" w:type="dxa"/>
            <w:bottom w:w="0" w:type="dxa"/>
            <w:right w:w="0" w:type="dxa"/>
          </w:tblCellMar>
        </w:tblPrEx>
        <w:trPr>
          <w:trHeight w:val="291"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2"/>
              <w:jc w:val="center"/>
              <w:rPr>
                <w:sz w:val="15"/>
                <w:szCs w:val="15"/>
              </w:rPr>
            </w:pPr>
            <w:r>
              <w:rPr>
                <w:b/>
                <w:bCs/>
                <w:sz w:val="15"/>
                <w:szCs w:val="15"/>
              </w:rPr>
              <w:t>废水治理（万元）</w:t>
            </w:r>
          </w:p>
        </w:tc>
        <w:tc>
          <w:tcPr>
            <w:tcW w:w="49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1.5</w:t>
            </w:r>
          </w:p>
        </w:tc>
        <w:tc>
          <w:tcPr>
            <w:tcW w:w="1374"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4"/>
              <w:jc w:val="center"/>
              <w:rPr>
                <w:sz w:val="15"/>
                <w:szCs w:val="15"/>
              </w:rPr>
            </w:pPr>
            <w:r>
              <w:rPr>
                <w:b/>
                <w:bCs/>
                <w:sz w:val="15"/>
                <w:szCs w:val="15"/>
              </w:rPr>
              <w:t>废气治理（万元）</w:t>
            </w:r>
          </w:p>
        </w:tc>
        <w:tc>
          <w:tcPr>
            <w:tcW w:w="4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5</w:t>
            </w:r>
          </w:p>
        </w:tc>
        <w:tc>
          <w:tcPr>
            <w:tcW w:w="1477"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68"/>
              <w:jc w:val="center"/>
              <w:rPr>
                <w:sz w:val="15"/>
                <w:szCs w:val="15"/>
              </w:rPr>
            </w:pPr>
            <w:r>
              <w:rPr>
                <w:b/>
                <w:bCs/>
                <w:sz w:val="15"/>
                <w:szCs w:val="15"/>
              </w:rPr>
              <w:t>噪声治理（万元）</w:t>
            </w:r>
          </w:p>
        </w:tc>
        <w:tc>
          <w:tcPr>
            <w:tcW w:w="867"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2</w:t>
            </w:r>
          </w:p>
        </w:tc>
        <w:tc>
          <w:tcPr>
            <w:tcW w:w="1710"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3"/>
              <w:jc w:val="center"/>
              <w:rPr>
                <w:sz w:val="15"/>
                <w:szCs w:val="15"/>
              </w:rPr>
            </w:pPr>
            <w:r>
              <w:rPr>
                <w:b/>
                <w:bCs/>
                <w:sz w:val="15"/>
                <w:szCs w:val="15"/>
              </w:rPr>
              <w:t>固体废物治理（万元）</w:t>
            </w:r>
          </w:p>
        </w:tc>
        <w:tc>
          <w:tcPr>
            <w:tcW w:w="84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1.5</w:t>
            </w:r>
          </w:p>
        </w:tc>
        <w:tc>
          <w:tcPr>
            <w:tcW w:w="1650" w:type="dxa"/>
            <w:gridSpan w:val="5"/>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3"/>
              <w:jc w:val="center"/>
              <w:rPr>
                <w:sz w:val="15"/>
                <w:szCs w:val="15"/>
              </w:rPr>
            </w:pPr>
            <w:r>
              <w:rPr>
                <w:b/>
                <w:bCs/>
                <w:sz w:val="15"/>
                <w:szCs w:val="15"/>
              </w:rPr>
              <w:t>绿化及生态（万元）</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w:t>
            </w:r>
          </w:p>
        </w:tc>
        <w:tc>
          <w:tcPr>
            <w:tcW w:w="117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11"/>
              <w:jc w:val="center"/>
              <w:rPr>
                <w:sz w:val="15"/>
                <w:szCs w:val="15"/>
              </w:rPr>
            </w:pPr>
            <w:r>
              <w:rPr>
                <w:b/>
                <w:bCs/>
                <w:sz w:val="15"/>
                <w:szCs w:val="15"/>
              </w:rPr>
              <w:t>其他（万元）</w:t>
            </w:r>
          </w:p>
        </w:tc>
        <w:tc>
          <w:tcPr>
            <w:tcW w:w="6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r>
      <w:tr>
        <w:tblPrEx>
          <w:tblCellMar>
            <w:top w:w="0" w:type="dxa"/>
            <w:left w:w="0" w:type="dxa"/>
            <w:bottom w:w="0" w:type="dxa"/>
            <w:right w:w="0" w:type="dxa"/>
          </w:tblCellMar>
        </w:tblPrEx>
        <w:trPr>
          <w:trHeight w:val="295" w:hRule="exact"/>
          <w:jc w:val="center"/>
        </w:trPr>
        <w:tc>
          <w:tcPr>
            <w:tcW w:w="525" w:type="dxa"/>
            <w:vMerge w:val="continue"/>
            <w:tcBorders>
              <w:left w:val="single" w:color="000000" w:sz="4" w:space="0"/>
              <w:bottom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新增废水处理设施能力</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新增废气处理设施能力</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年平均工作时</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2000</w:t>
            </w:r>
          </w:p>
        </w:tc>
      </w:tr>
      <w:tr>
        <w:tblPrEx>
          <w:tblCellMar>
            <w:top w:w="0" w:type="dxa"/>
            <w:left w:w="0" w:type="dxa"/>
            <w:bottom w:w="0" w:type="dxa"/>
            <w:right w:w="0" w:type="dxa"/>
          </w:tblCellMar>
        </w:tblPrEx>
        <w:trPr>
          <w:trHeight w:val="253" w:hRule="exact"/>
          <w:jc w:val="center"/>
        </w:trPr>
        <w:tc>
          <w:tcPr>
            <w:tcW w:w="2376"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
              <w:jc w:val="center"/>
              <w:rPr>
                <w:sz w:val="15"/>
                <w:szCs w:val="15"/>
              </w:rPr>
            </w:pPr>
            <w:r>
              <w:rPr>
                <w:b/>
                <w:bCs/>
                <w:sz w:val="15"/>
                <w:szCs w:val="15"/>
              </w:rPr>
              <w:t>运营单位</w:t>
            </w:r>
          </w:p>
        </w:tc>
        <w:tc>
          <w:tcPr>
            <w:tcW w:w="2439"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eastAsia="宋体"/>
                <w:sz w:val="15"/>
                <w:szCs w:val="15"/>
                <w:lang w:eastAsia="zh-CN"/>
              </w:rPr>
              <w:t>德惠市万宝镇超达傢木门加工厂</w:t>
            </w:r>
          </w:p>
        </w:tc>
        <w:tc>
          <w:tcPr>
            <w:tcW w:w="3959" w:type="dxa"/>
            <w:gridSpan w:val="9"/>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75"/>
              <w:jc w:val="center"/>
              <w:rPr>
                <w:sz w:val="15"/>
                <w:szCs w:val="15"/>
              </w:rPr>
            </w:pPr>
            <w:r>
              <w:rPr>
                <w:b/>
                <w:bCs/>
                <w:sz w:val="15"/>
                <w:szCs w:val="15"/>
              </w:rPr>
              <w:t>运营单位社会统一信用代码（或组织机构代码）</w:t>
            </w:r>
          </w:p>
        </w:tc>
        <w:tc>
          <w:tcPr>
            <w:tcW w:w="1994"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92220183MA159UAQ03</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验收时间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2</w:t>
            </w:r>
            <w:r>
              <w:rPr>
                <w:rFonts w:hint="eastAsia"/>
                <w:sz w:val="15"/>
                <w:szCs w:val="15"/>
                <w:lang w:val="en-US" w:eastAsia="zh-CN"/>
              </w:rPr>
              <w:t>021年4</w:t>
            </w:r>
            <w:bookmarkStart w:id="7" w:name="_GoBack"/>
            <w:bookmarkEnd w:id="7"/>
            <w:r>
              <w:rPr>
                <w:rFonts w:hint="eastAsia"/>
                <w:sz w:val="15"/>
                <w:szCs w:val="15"/>
              </w:rPr>
              <w:t>月</w:t>
            </w:r>
          </w:p>
        </w:tc>
      </w:tr>
      <w:tr>
        <w:tblPrEx>
          <w:tblCellMar>
            <w:top w:w="0" w:type="dxa"/>
            <w:left w:w="0" w:type="dxa"/>
            <w:bottom w:w="0" w:type="dxa"/>
            <w:right w:w="0" w:type="dxa"/>
          </w:tblCellMar>
        </w:tblPrEx>
        <w:trPr>
          <w:trHeight w:val="859" w:hRule="exact"/>
          <w:jc w:val="center"/>
        </w:trPr>
        <w:tc>
          <w:tcPr>
            <w:tcW w:w="629" w:type="dxa"/>
            <w:gridSpan w:val="2"/>
            <w:vMerge w:val="restart"/>
            <w:tcBorders>
              <w:top w:val="single" w:color="000000" w:sz="4" w:space="0"/>
              <w:left w:val="single" w:color="000000" w:sz="4" w:space="0"/>
              <w:right w:val="single" w:color="000000" w:sz="4" w:space="0"/>
            </w:tcBorders>
            <w:vAlign w:val="center"/>
          </w:tcPr>
          <w:p>
            <w:pPr>
              <w:pStyle w:val="60"/>
              <w:ind w:left="103" w:right="179"/>
              <w:jc w:val="center"/>
              <w:rPr>
                <w:sz w:val="15"/>
                <w:szCs w:val="15"/>
              </w:rPr>
            </w:pPr>
            <w:r>
              <w:rPr>
                <w:b/>
                <w:bCs/>
                <w:sz w:val="15"/>
                <w:szCs w:val="15"/>
              </w:rPr>
              <w:t>污</w:t>
            </w:r>
            <w:r>
              <w:rPr>
                <w:b/>
                <w:bCs/>
                <w:spacing w:val="-57"/>
                <w:sz w:val="15"/>
                <w:szCs w:val="15"/>
              </w:rPr>
              <w:t xml:space="preserve"> </w:t>
            </w:r>
            <w:r>
              <w:rPr>
                <w:b/>
                <w:bCs/>
                <w:sz w:val="15"/>
                <w:szCs w:val="15"/>
              </w:rPr>
              <w:t>染</w:t>
            </w:r>
            <w:r>
              <w:rPr>
                <w:b/>
                <w:bCs/>
                <w:w w:val="98"/>
                <w:sz w:val="15"/>
                <w:szCs w:val="15"/>
              </w:rPr>
              <w:t xml:space="preserve"> </w:t>
            </w:r>
            <w:r>
              <w:rPr>
                <w:b/>
                <w:bCs/>
                <w:sz w:val="15"/>
                <w:szCs w:val="15"/>
              </w:rPr>
              <w:t>物</w:t>
            </w:r>
            <w:r>
              <w:rPr>
                <w:b/>
                <w:bCs/>
                <w:spacing w:val="-57"/>
                <w:sz w:val="15"/>
                <w:szCs w:val="15"/>
              </w:rPr>
              <w:t xml:space="preserve"> </w:t>
            </w:r>
            <w:r>
              <w:rPr>
                <w:b/>
                <w:bCs/>
                <w:sz w:val="15"/>
                <w:szCs w:val="15"/>
              </w:rPr>
              <w:t>排</w:t>
            </w:r>
            <w:r>
              <w:rPr>
                <w:b/>
                <w:bCs/>
                <w:w w:val="98"/>
                <w:sz w:val="15"/>
                <w:szCs w:val="15"/>
              </w:rPr>
              <w:t xml:space="preserve"> </w:t>
            </w:r>
            <w:r>
              <w:rPr>
                <w:b/>
                <w:bCs/>
                <w:sz w:val="15"/>
                <w:szCs w:val="15"/>
              </w:rPr>
              <w:t>放</w:t>
            </w:r>
            <w:r>
              <w:rPr>
                <w:b/>
                <w:bCs/>
                <w:spacing w:val="-57"/>
                <w:sz w:val="15"/>
                <w:szCs w:val="15"/>
              </w:rPr>
              <w:t xml:space="preserve"> </w:t>
            </w:r>
            <w:r>
              <w:rPr>
                <w:b/>
                <w:bCs/>
                <w:sz w:val="15"/>
                <w:szCs w:val="15"/>
              </w:rPr>
              <w:t>达</w:t>
            </w:r>
            <w:r>
              <w:rPr>
                <w:b/>
                <w:bCs/>
                <w:w w:val="98"/>
                <w:sz w:val="15"/>
                <w:szCs w:val="15"/>
              </w:rPr>
              <w:t xml:space="preserve"> </w:t>
            </w:r>
            <w:r>
              <w:rPr>
                <w:b/>
                <w:bCs/>
                <w:sz w:val="15"/>
                <w:szCs w:val="15"/>
              </w:rPr>
              <w:t>标</w:t>
            </w:r>
            <w:r>
              <w:rPr>
                <w:b/>
                <w:bCs/>
                <w:spacing w:val="-57"/>
                <w:sz w:val="15"/>
                <w:szCs w:val="15"/>
              </w:rPr>
              <w:t xml:space="preserve"> </w:t>
            </w:r>
            <w:r>
              <w:rPr>
                <w:b/>
                <w:bCs/>
                <w:sz w:val="15"/>
                <w:szCs w:val="15"/>
              </w:rPr>
              <w:t>与</w:t>
            </w:r>
            <w:r>
              <w:rPr>
                <w:b/>
                <w:bCs/>
                <w:w w:val="98"/>
                <w:sz w:val="15"/>
                <w:szCs w:val="15"/>
              </w:rPr>
              <w:t xml:space="preserve"> </w:t>
            </w:r>
            <w:r>
              <w:rPr>
                <w:b/>
                <w:bCs/>
                <w:sz w:val="15"/>
                <w:szCs w:val="15"/>
              </w:rPr>
              <w:t>总</w:t>
            </w:r>
            <w:r>
              <w:rPr>
                <w:b/>
                <w:bCs/>
                <w:spacing w:val="-57"/>
                <w:sz w:val="15"/>
                <w:szCs w:val="15"/>
              </w:rPr>
              <w:t xml:space="preserve"> </w:t>
            </w:r>
            <w:r>
              <w:rPr>
                <w:b/>
                <w:bCs/>
                <w:sz w:val="15"/>
                <w:szCs w:val="15"/>
              </w:rPr>
              <w:t>量</w:t>
            </w:r>
            <w:r>
              <w:rPr>
                <w:b/>
                <w:bCs/>
                <w:w w:val="98"/>
                <w:sz w:val="15"/>
                <w:szCs w:val="15"/>
              </w:rPr>
              <w:t xml:space="preserve"> </w:t>
            </w:r>
            <w:r>
              <w:rPr>
                <w:b/>
                <w:bCs/>
                <w:sz w:val="15"/>
                <w:szCs w:val="15"/>
              </w:rPr>
              <w:t>控</w:t>
            </w:r>
            <w:r>
              <w:rPr>
                <w:b/>
                <w:bCs/>
                <w:spacing w:val="-59"/>
                <w:sz w:val="15"/>
                <w:szCs w:val="15"/>
              </w:rPr>
              <w:t xml:space="preserve"> </w:t>
            </w:r>
            <w:r>
              <w:rPr>
                <w:b/>
                <w:bCs/>
                <w:sz w:val="15"/>
                <w:szCs w:val="15"/>
              </w:rPr>
              <w:t>制</w:t>
            </w:r>
          </w:p>
          <w:p>
            <w:pPr>
              <w:pStyle w:val="60"/>
              <w:spacing w:line="237" w:lineRule="auto"/>
              <w:ind w:left="103" w:right="179"/>
              <w:jc w:val="center"/>
              <w:rPr>
                <w:sz w:val="15"/>
                <w:szCs w:val="15"/>
              </w:rPr>
            </w:pPr>
            <w:r>
              <w:rPr>
                <w:b/>
                <w:bCs/>
                <w:sz w:val="15"/>
                <w:szCs w:val="15"/>
              </w:rPr>
              <w:t>（</w:t>
            </w:r>
            <w:r>
              <w:rPr>
                <w:b/>
                <w:bCs/>
                <w:spacing w:val="-57"/>
                <w:sz w:val="15"/>
                <w:szCs w:val="15"/>
              </w:rPr>
              <w:t xml:space="preserve"> </w:t>
            </w:r>
            <w:r>
              <w:rPr>
                <w:b/>
                <w:bCs/>
                <w:sz w:val="15"/>
                <w:szCs w:val="15"/>
              </w:rPr>
              <w:t>工</w:t>
            </w:r>
            <w:r>
              <w:rPr>
                <w:b/>
                <w:bCs/>
                <w:w w:val="98"/>
                <w:sz w:val="15"/>
                <w:szCs w:val="15"/>
              </w:rPr>
              <w:t xml:space="preserve"> </w:t>
            </w:r>
            <w:r>
              <w:rPr>
                <w:b/>
                <w:bCs/>
                <w:sz w:val="15"/>
                <w:szCs w:val="15"/>
              </w:rPr>
              <w:t>业</w:t>
            </w:r>
            <w:r>
              <w:rPr>
                <w:b/>
                <w:bCs/>
                <w:spacing w:val="-57"/>
                <w:sz w:val="15"/>
                <w:szCs w:val="15"/>
              </w:rPr>
              <w:t xml:space="preserve"> </w:t>
            </w:r>
            <w:r>
              <w:rPr>
                <w:b/>
                <w:bCs/>
                <w:sz w:val="15"/>
                <w:szCs w:val="15"/>
              </w:rPr>
              <w:t>建</w:t>
            </w:r>
            <w:r>
              <w:rPr>
                <w:b/>
                <w:bCs/>
                <w:w w:val="98"/>
                <w:sz w:val="15"/>
                <w:szCs w:val="15"/>
              </w:rPr>
              <w:t xml:space="preserve"> </w:t>
            </w:r>
            <w:r>
              <w:rPr>
                <w:b/>
                <w:bCs/>
                <w:sz w:val="15"/>
                <w:szCs w:val="15"/>
              </w:rPr>
              <w:t>设</w:t>
            </w:r>
            <w:r>
              <w:rPr>
                <w:b/>
                <w:bCs/>
                <w:spacing w:val="-57"/>
                <w:sz w:val="15"/>
                <w:szCs w:val="15"/>
              </w:rPr>
              <w:t xml:space="preserve"> </w:t>
            </w:r>
            <w:r>
              <w:rPr>
                <w:b/>
                <w:bCs/>
                <w:sz w:val="15"/>
                <w:szCs w:val="15"/>
              </w:rPr>
              <w:t>项</w:t>
            </w:r>
            <w:r>
              <w:rPr>
                <w:b/>
                <w:bCs/>
                <w:w w:val="98"/>
                <w:sz w:val="15"/>
                <w:szCs w:val="15"/>
              </w:rPr>
              <w:t xml:space="preserve"> </w:t>
            </w:r>
            <w:r>
              <w:rPr>
                <w:b/>
                <w:bCs/>
                <w:sz w:val="15"/>
                <w:szCs w:val="15"/>
              </w:rPr>
              <w:t>目</w:t>
            </w:r>
            <w:r>
              <w:rPr>
                <w:b/>
                <w:bCs/>
                <w:spacing w:val="-57"/>
                <w:sz w:val="15"/>
                <w:szCs w:val="15"/>
              </w:rPr>
              <w:t xml:space="preserve"> </w:t>
            </w:r>
            <w:r>
              <w:rPr>
                <w:b/>
                <w:bCs/>
                <w:sz w:val="15"/>
                <w:szCs w:val="15"/>
              </w:rPr>
              <w:t>详</w:t>
            </w:r>
            <w:r>
              <w:rPr>
                <w:b/>
                <w:bCs/>
                <w:w w:val="98"/>
                <w:sz w:val="15"/>
                <w:szCs w:val="15"/>
              </w:rPr>
              <w:t xml:space="preserve"> </w:t>
            </w:r>
            <w:r>
              <w:rPr>
                <w:b/>
                <w:bCs/>
                <w:sz w:val="15"/>
                <w:szCs w:val="15"/>
              </w:rPr>
              <w:t>填</w:t>
            </w:r>
            <w:r>
              <w:rPr>
                <w:b/>
                <w:bCs/>
                <w:spacing w:val="-59"/>
                <w:sz w:val="15"/>
                <w:szCs w:val="15"/>
              </w:rPr>
              <w:t xml:space="preserve"> </w:t>
            </w:r>
            <w:r>
              <w:rPr>
                <w:b/>
                <w:bCs/>
                <w:sz w:val="15"/>
                <w:szCs w:val="15"/>
              </w:rPr>
              <w:t>）</w:t>
            </w: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3"/>
              <w:jc w:val="center"/>
              <w:rPr>
                <w:b/>
                <w:bCs/>
                <w:sz w:val="15"/>
                <w:szCs w:val="15"/>
              </w:rPr>
            </w:pPr>
          </w:p>
          <w:p>
            <w:pPr>
              <w:pStyle w:val="60"/>
              <w:ind w:left="103"/>
              <w:jc w:val="center"/>
              <w:rPr>
                <w:sz w:val="15"/>
                <w:szCs w:val="15"/>
              </w:rPr>
            </w:pPr>
            <w:r>
              <w:rPr>
                <w:b/>
                <w:bCs/>
                <w:sz w:val="15"/>
                <w:szCs w:val="15"/>
              </w:rPr>
              <w:t>污染物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204"/>
              <w:jc w:val="center"/>
              <w:rPr>
                <w:sz w:val="15"/>
                <w:szCs w:val="15"/>
              </w:rPr>
            </w:pPr>
            <w:r>
              <w:rPr>
                <w:b/>
                <w:bCs/>
                <w:sz w:val="15"/>
                <w:szCs w:val="15"/>
              </w:rPr>
              <w:t>原有排放量(1)</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06"/>
              <w:jc w:val="center"/>
              <w:rPr>
                <w:sz w:val="15"/>
                <w:szCs w:val="15"/>
              </w:rPr>
            </w:pPr>
            <w:r>
              <w:rPr>
                <w:b/>
                <w:bCs/>
                <w:sz w:val="15"/>
                <w:szCs w:val="15"/>
              </w:rPr>
              <w:t>本期工程实际排放浓度(2)</w:t>
            </w: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14"/>
              <w:jc w:val="center"/>
              <w:rPr>
                <w:sz w:val="15"/>
                <w:szCs w:val="15"/>
              </w:rPr>
            </w:pPr>
            <w:r>
              <w:rPr>
                <w:b/>
                <w:bCs/>
                <w:sz w:val="15"/>
                <w:szCs w:val="15"/>
              </w:rPr>
              <w:t>本期工程允许排放浓度(3)</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55"/>
              <w:jc w:val="center"/>
              <w:rPr>
                <w:sz w:val="15"/>
                <w:szCs w:val="15"/>
              </w:rPr>
            </w:pPr>
            <w:r>
              <w:rPr>
                <w:b/>
                <w:bCs/>
                <w:sz w:val="15"/>
                <w:szCs w:val="15"/>
              </w:rPr>
              <w:t>本期工程产生量(4)</w:t>
            </w: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14"/>
              <w:jc w:val="center"/>
              <w:rPr>
                <w:sz w:val="15"/>
                <w:szCs w:val="15"/>
              </w:rPr>
            </w:pPr>
            <w:r>
              <w:rPr>
                <w:b/>
                <w:bCs/>
                <w:sz w:val="15"/>
                <w:szCs w:val="15"/>
              </w:rPr>
              <w:t>本期工程自身削减量(5)</w:t>
            </w: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55"/>
              <w:jc w:val="center"/>
              <w:rPr>
                <w:sz w:val="15"/>
                <w:szCs w:val="15"/>
              </w:rPr>
            </w:pPr>
            <w:r>
              <w:rPr>
                <w:b/>
                <w:bCs/>
                <w:sz w:val="15"/>
                <w:szCs w:val="15"/>
              </w:rPr>
              <w:t>本期工程实际排放量(6)</w:t>
            </w: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90" w:right="156"/>
              <w:jc w:val="center"/>
              <w:rPr>
                <w:sz w:val="15"/>
                <w:szCs w:val="15"/>
              </w:rPr>
            </w:pPr>
            <w:r>
              <w:rPr>
                <w:b/>
                <w:bCs/>
                <w:sz w:val="15"/>
                <w:szCs w:val="15"/>
              </w:rPr>
              <w:t>本期工程核定排放总量(7)</w:t>
            </w: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79"/>
              <w:jc w:val="center"/>
              <w:rPr>
                <w:sz w:val="15"/>
                <w:szCs w:val="15"/>
              </w:rPr>
            </w:pPr>
            <w:r>
              <w:rPr>
                <w:b/>
                <w:bCs/>
                <w:sz w:val="15"/>
                <w:szCs w:val="15"/>
              </w:rPr>
              <w:t>本期工程“以新带老”</w:t>
            </w:r>
            <w:r>
              <w:rPr>
                <w:b/>
                <w:bCs/>
                <w:w w:val="99"/>
                <w:sz w:val="15"/>
                <w:szCs w:val="15"/>
              </w:rPr>
              <w:t xml:space="preserve"> </w:t>
            </w:r>
            <w:r>
              <w:rPr>
                <w:b/>
                <w:bCs/>
                <w:sz w:val="15"/>
                <w:szCs w:val="15"/>
              </w:rPr>
              <w:t>削减量(8)</w:t>
            </w: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91"/>
              <w:jc w:val="center"/>
              <w:rPr>
                <w:sz w:val="15"/>
                <w:szCs w:val="15"/>
              </w:rPr>
            </w:pPr>
            <w:r>
              <w:rPr>
                <w:b/>
                <w:bCs/>
                <w:sz w:val="15"/>
                <w:szCs w:val="15"/>
              </w:rPr>
              <w:t>全厂实际排放总量(9)</w:t>
            </w: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16"/>
              <w:jc w:val="center"/>
              <w:rPr>
                <w:sz w:val="15"/>
                <w:szCs w:val="15"/>
              </w:rPr>
            </w:pPr>
            <w:r>
              <w:rPr>
                <w:b/>
                <w:bCs/>
                <w:sz w:val="15"/>
                <w:szCs w:val="15"/>
              </w:rPr>
              <w:t>全厂核定排放总量(10)</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21"/>
              <w:jc w:val="center"/>
              <w:rPr>
                <w:sz w:val="15"/>
                <w:szCs w:val="15"/>
              </w:rPr>
            </w:pPr>
            <w:r>
              <w:rPr>
                <w:b/>
                <w:bCs/>
                <w:sz w:val="15"/>
                <w:szCs w:val="15"/>
              </w:rPr>
              <w:t>区域平衡替代削减量(11)</w:t>
            </w: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6" w:lineRule="exact"/>
              <w:ind w:left="102"/>
              <w:jc w:val="center"/>
              <w:rPr>
                <w:sz w:val="15"/>
                <w:szCs w:val="15"/>
              </w:rPr>
            </w:pPr>
            <w:r>
              <w:rPr>
                <w:b/>
                <w:bCs/>
                <w:sz w:val="15"/>
                <w:szCs w:val="15"/>
              </w:rPr>
              <w:t>排放增</w:t>
            </w:r>
          </w:p>
          <w:p>
            <w:pPr>
              <w:pStyle w:val="60"/>
              <w:ind w:left="102"/>
              <w:jc w:val="center"/>
              <w:rPr>
                <w:sz w:val="15"/>
                <w:szCs w:val="15"/>
              </w:rPr>
            </w:pPr>
            <w:r>
              <w:rPr>
                <w:b/>
                <w:bCs/>
                <w:sz w:val="15"/>
                <w:szCs w:val="15"/>
              </w:rPr>
              <w:t>减量</w:t>
            </w:r>
          </w:p>
          <w:p>
            <w:pPr>
              <w:pStyle w:val="60"/>
              <w:spacing w:before="26"/>
              <w:ind w:left="102"/>
              <w:jc w:val="center"/>
              <w:rPr>
                <w:sz w:val="15"/>
                <w:szCs w:val="15"/>
              </w:rPr>
            </w:pPr>
            <w:r>
              <w:rPr>
                <w:b/>
                <w:sz w:val="15"/>
                <w:szCs w:val="15"/>
              </w:rPr>
              <w:t>(12)</w:t>
            </w: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3" w:lineRule="exact"/>
              <w:ind w:left="103"/>
              <w:jc w:val="center"/>
              <w:rPr>
                <w:sz w:val="15"/>
                <w:szCs w:val="15"/>
              </w:rPr>
            </w:pPr>
            <w:r>
              <w:rPr>
                <w:b/>
                <w:bCs/>
                <w:sz w:val="15"/>
                <w:szCs w:val="15"/>
              </w:rPr>
              <w:t>废水</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化学需氧量</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氨氮</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30" w:lineRule="exact"/>
              <w:ind w:left="103"/>
              <w:jc w:val="center"/>
              <w:rPr>
                <w:sz w:val="15"/>
                <w:szCs w:val="15"/>
              </w:rPr>
            </w:pPr>
            <w:r>
              <w:rPr>
                <w:b/>
                <w:bCs/>
                <w:sz w:val="15"/>
                <w:szCs w:val="15"/>
              </w:rPr>
              <w:t>石油类</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1" w:lineRule="exact"/>
              <w:ind w:left="103"/>
              <w:jc w:val="center"/>
              <w:rPr>
                <w:sz w:val="15"/>
                <w:szCs w:val="15"/>
              </w:rPr>
            </w:pPr>
            <w:r>
              <w:rPr>
                <w:b/>
                <w:bCs/>
                <w:sz w:val="15"/>
                <w:szCs w:val="15"/>
              </w:rPr>
              <w:t>废气</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二氧化硫</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6" w:lineRule="exact"/>
              <w:ind w:left="103"/>
              <w:jc w:val="center"/>
              <w:rPr>
                <w:sz w:val="15"/>
                <w:szCs w:val="15"/>
              </w:rPr>
            </w:pPr>
            <w:r>
              <w:rPr>
                <w:b/>
                <w:bCs/>
                <w:sz w:val="15"/>
                <w:szCs w:val="15"/>
              </w:rPr>
              <w:t>烟尘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工业粉尘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氮氧化物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3" w:lineRule="exact"/>
              <w:ind w:left="103"/>
              <w:jc w:val="center"/>
              <w:rPr>
                <w:sz w:val="15"/>
                <w:szCs w:val="15"/>
              </w:rPr>
            </w:pPr>
            <w:r>
              <w:rPr>
                <w:b/>
                <w:bCs/>
                <w:sz w:val="15"/>
                <w:szCs w:val="15"/>
              </w:rPr>
              <w:t>工业固体废物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restart"/>
            <w:tcBorders>
              <w:top w:val="single" w:color="000000" w:sz="4" w:space="0"/>
              <w:left w:val="single" w:color="000000" w:sz="4" w:space="0"/>
              <w:right w:val="single" w:color="000000" w:sz="4" w:space="0"/>
            </w:tcBorders>
            <w:vAlign w:val="center"/>
          </w:tcPr>
          <w:p>
            <w:pPr>
              <w:pStyle w:val="60"/>
              <w:spacing w:line="227" w:lineRule="exact"/>
              <w:ind w:left="103"/>
              <w:jc w:val="center"/>
              <w:rPr>
                <w:sz w:val="15"/>
                <w:szCs w:val="15"/>
              </w:rPr>
            </w:pPr>
            <w:r>
              <w:rPr>
                <w:b/>
                <w:bCs/>
                <w:spacing w:val="2"/>
                <w:sz w:val="15"/>
                <w:szCs w:val="15"/>
              </w:rPr>
              <w:t>与项目有关的其他特征污染</w:t>
            </w:r>
            <w:r>
              <w:rPr>
                <w:b/>
                <w:bCs/>
                <w:sz w:val="15"/>
                <w:szCs w:val="15"/>
              </w:rPr>
              <w:t>物</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60"/>
              <w:spacing w:line="179" w:lineRule="exact"/>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bl>
    <w:p>
      <w:pPr>
        <w:spacing w:line="226" w:lineRule="exact"/>
        <w:jc w:val="left"/>
        <w:rPr>
          <w:rFonts w:eastAsia="微软雅黑"/>
          <w:sz w:val="15"/>
          <w:szCs w:val="15"/>
        </w:rPr>
      </w:pPr>
      <w:r>
        <w:rPr>
          <w:rFonts w:eastAsia="微软雅黑"/>
          <w:b/>
          <w:bCs/>
          <w:spacing w:val="-4"/>
          <w:sz w:val="15"/>
          <w:szCs w:val="15"/>
        </w:rPr>
        <w:t>注</w:t>
      </w:r>
      <w:r>
        <w:rPr>
          <w:rFonts w:eastAsia="微软雅黑"/>
          <w:spacing w:val="-4"/>
          <w:sz w:val="15"/>
          <w:szCs w:val="15"/>
        </w:rPr>
        <w:t>：</w:t>
      </w:r>
      <w:r>
        <w:rPr>
          <w:rFonts w:eastAsia="Tahoma"/>
          <w:spacing w:val="-4"/>
          <w:sz w:val="15"/>
          <w:szCs w:val="15"/>
        </w:rPr>
        <w:t>1</w:t>
      </w:r>
      <w:r>
        <w:rPr>
          <w:rFonts w:eastAsia="微软雅黑"/>
          <w:spacing w:val="-4"/>
          <w:sz w:val="15"/>
          <w:szCs w:val="15"/>
        </w:rPr>
        <w:t>、排放增减量：（</w:t>
      </w:r>
      <w:r>
        <w:rPr>
          <w:rFonts w:eastAsia="Tahoma"/>
          <w:spacing w:val="-4"/>
          <w:sz w:val="15"/>
          <w:szCs w:val="15"/>
        </w:rPr>
        <w:t>+</w:t>
      </w:r>
      <w:r>
        <w:rPr>
          <w:rFonts w:eastAsia="微软雅黑"/>
          <w:spacing w:val="-4"/>
          <w:sz w:val="15"/>
          <w:szCs w:val="15"/>
        </w:rPr>
        <w:t>）表示增加，（</w:t>
      </w:r>
      <w:r>
        <w:rPr>
          <w:rFonts w:eastAsia="Tahoma"/>
          <w:spacing w:val="-4"/>
          <w:sz w:val="15"/>
          <w:szCs w:val="15"/>
        </w:rPr>
        <w:t>-</w:t>
      </w:r>
      <w:r>
        <w:rPr>
          <w:rFonts w:eastAsia="微软雅黑"/>
          <w:spacing w:val="-4"/>
          <w:sz w:val="15"/>
          <w:szCs w:val="15"/>
        </w:rPr>
        <w:t>）表示减少。</w:t>
      </w:r>
      <w:r>
        <w:rPr>
          <w:rFonts w:eastAsia="Tahoma"/>
          <w:spacing w:val="-4"/>
          <w:sz w:val="15"/>
          <w:szCs w:val="15"/>
        </w:rPr>
        <w:t>2</w:t>
      </w:r>
      <w:r>
        <w:rPr>
          <w:rFonts w:eastAsia="微软雅黑"/>
          <w:spacing w:val="-4"/>
          <w:sz w:val="15"/>
          <w:szCs w:val="15"/>
        </w:rPr>
        <w:t>、</w:t>
      </w:r>
      <w:r>
        <w:rPr>
          <w:rFonts w:eastAsia="Tahoma"/>
          <w:spacing w:val="-4"/>
          <w:sz w:val="15"/>
          <w:szCs w:val="15"/>
        </w:rPr>
        <w:t>(12)=(6)-(8)-(11)</w:t>
      </w:r>
      <w:r>
        <w:rPr>
          <w:rFonts w:eastAsia="微软雅黑"/>
          <w:spacing w:val="-4"/>
          <w:sz w:val="15"/>
          <w:szCs w:val="15"/>
        </w:rPr>
        <w:t>，（</w:t>
      </w:r>
      <w:r>
        <w:rPr>
          <w:rFonts w:eastAsia="Tahoma"/>
          <w:spacing w:val="-4"/>
          <w:sz w:val="15"/>
          <w:szCs w:val="15"/>
        </w:rPr>
        <w:t>9</w:t>
      </w:r>
      <w:r>
        <w:rPr>
          <w:rFonts w:eastAsia="微软雅黑"/>
          <w:spacing w:val="-4"/>
          <w:sz w:val="15"/>
          <w:szCs w:val="15"/>
        </w:rPr>
        <w:t>）</w:t>
      </w:r>
      <w:r>
        <w:rPr>
          <w:rFonts w:eastAsia="Tahoma"/>
          <w:spacing w:val="-4"/>
          <w:sz w:val="15"/>
          <w:szCs w:val="15"/>
        </w:rPr>
        <w:t xml:space="preserve">= </w:t>
      </w:r>
      <w:r>
        <w:rPr>
          <w:rFonts w:eastAsia="Tahoma"/>
          <w:spacing w:val="-5"/>
          <w:sz w:val="15"/>
          <w:szCs w:val="15"/>
        </w:rPr>
        <w:t xml:space="preserve">(4)-(5)-(8)- </w:t>
      </w:r>
      <w:r>
        <w:rPr>
          <w:rFonts w:eastAsia="Tahoma"/>
          <w:spacing w:val="-3"/>
          <w:sz w:val="15"/>
          <w:szCs w:val="15"/>
        </w:rPr>
        <w:t>(11)</w:t>
      </w:r>
      <w:r>
        <w:rPr>
          <w:rFonts w:eastAsia="Tahoma"/>
          <w:spacing w:val="2"/>
          <w:sz w:val="15"/>
          <w:szCs w:val="15"/>
        </w:rPr>
        <w:t xml:space="preserve"> </w:t>
      </w:r>
      <w:r>
        <w:rPr>
          <w:rFonts w:eastAsia="Tahoma"/>
          <w:spacing w:val="-4"/>
          <w:sz w:val="15"/>
          <w:szCs w:val="15"/>
        </w:rPr>
        <w:t>+</w:t>
      </w:r>
      <w:r>
        <w:rPr>
          <w:rFonts w:eastAsia="微软雅黑"/>
          <w:spacing w:val="-4"/>
          <w:sz w:val="15"/>
          <w:szCs w:val="15"/>
        </w:rPr>
        <w:t>（</w:t>
      </w:r>
      <w:r>
        <w:rPr>
          <w:rFonts w:eastAsia="Tahoma"/>
          <w:spacing w:val="-4"/>
          <w:sz w:val="15"/>
          <w:szCs w:val="15"/>
        </w:rPr>
        <w:t>1</w:t>
      </w:r>
      <w:r>
        <w:rPr>
          <w:rFonts w:eastAsia="微软雅黑"/>
          <w:spacing w:val="-4"/>
          <w:sz w:val="15"/>
          <w:szCs w:val="15"/>
        </w:rPr>
        <w:t>）。</w:t>
      </w:r>
      <w:r>
        <w:rPr>
          <w:rFonts w:eastAsia="Tahoma"/>
          <w:spacing w:val="-4"/>
          <w:sz w:val="15"/>
          <w:szCs w:val="15"/>
        </w:rPr>
        <w:t>3</w:t>
      </w:r>
      <w:r>
        <w:rPr>
          <w:rFonts w:eastAsia="微软雅黑"/>
          <w:spacing w:val="-4"/>
          <w:sz w:val="15"/>
          <w:szCs w:val="15"/>
        </w:rPr>
        <w:t>、计量单位：废水排放量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年；废气排放量</w:t>
      </w:r>
      <w:r>
        <w:rPr>
          <w:rFonts w:eastAsia="Tahoma"/>
          <w:spacing w:val="-4"/>
          <w:sz w:val="15"/>
          <w:szCs w:val="15"/>
        </w:rPr>
        <w:t>——</w:t>
      </w:r>
      <w:r>
        <w:rPr>
          <w:rFonts w:eastAsia="微软雅黑"/>
          <w:spacing w:val="-4"/>
          <w:sz w:val="15"/>
          <w:szCs w:val="15"/>
        </w:rPr>
        <w:t>万标立方米</w:t>
      </w:r>
      <w:r>
        <w:rPr>
          <w:rFonts w:eastAsia="Tahoma"/>
          <w:spacing w:val="-4"/>
          <w:sz w:val="15"/>
          <w:szCs w:val="15"/>
        </w:rPr>
        <w:t>/</w:t>
      </w:r>
      <w:r>
        <w:rPr>
          <w:rFonts w:eastAsia="微软雅黑"/>
          <w:spacing w:val="-4"/>
          <w:sz w:val="15"/>
          <w:szCs w:val="15"/>
        </w:rPr>
        <w:t>年；工业固体废物排放量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w:t>
      </w:r>
    </w:p>
    <w:p>
      <w:pPr>
        <w:jc w:val="left"/>
        <w:rPr>
          <w:rFonts w:eastAsia="微软雅黑"/>
          <w:sz w:val="15"/>
          <w:szCs w:val="15"/>
        </w:rPr>
        <w:sectPr>
          <w:headerReference r:id="rId8" w:type="default"/>
          <w:footerReference r:id="rId9" w:type="default"/>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eastAsia="微软雅黑"/>
          <w:sz w:val="15"/>
          <w:szCs w:val="15"/>
        </w:rPr>
        <w:t>水污染物排放浓度</w:t>
      </w:r>
      <w:r>
        <w:rPr>
          <w:rFonts w:eastAsia="Tahoma"/>
          <w:sz w:val="15"/>
          <w:szCs w:val="15"/>
        </w:rPr>
        <w:t>——</w:t>
      </w:r>
      <w:r>
        <w:rPr>
          <w:rFonts w:eastAsia="微软雅黑"/>
          <w:sz w:val="15"/>
          <w:szCs w:val="15"/>
        </w:rPr>
        <w:t>毫克</w:t>
      </w:r>
      <w:r>
        <w:rPr>
          <w:rFonts w:eastAsia="Tahoma"/>
          <w:sz w:val="15"/>
          <w:szCs w:val="15"/>
        </w:rPr>
        <w:t>/</w:t>
      </w:r>
      <w:r>
        <w:rPr>
          <w:rFonts w:eastAsia="微软雅黑"/>
          <w:sz w:val="15"/>
          <w:szCs w:val="15"/>
        </w:rPr>
        <w:t>升</w:t>
      </w:r>
    </w:p>
    <w:p>
      <w:pPr>
        <w:pStyle w:val="22"/>
        <w:ind w:left="0" w:leftChars="0" w:firstLine="0" w:firstLineChars="0"/>
        <w:rPr>
          <w:rFonts w:hint="eastAsia"/>
          <w:lang w:val="en-US" w:eastAsia="zh-CN"/>
        </w:rPr>
      </w:pPr>
      <w:r>
        <w:drawing>
          <wp:inline distT="0" distB="0" distL="114300" distR="114300">
            <wp:extent cx="8887460" cy="5328920"/>
            <wp:effectExtent l="0" t="0" r="889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8887460" cy="5328920"/>
                    </a:xfrm>
                    <a:prstGeom prst="rect">
                      <a:avLst/>
                    </a:prstGeom>
                    <a:noFill/>
                    <a:ln>
                      <a:noFill/>
                    </a:ln>
                  </pic:spPr>
                </pic:pic>
              </a:graphicData>
            </a:graphic>
          </wp:inline>
        </w:drawing>
      </w:r>
    </w:p>
    <w:p>
      <w:pPr>
        <w:pStyle w:val="22"/>
        <w:ind w:left="0" w:leftChars="0" w:firstLine="0" w:firstLineChars="0"/>
        <w:rPr>
          <w:rFonts w:hint="eastAsia"/>
          <w:b/>
          <w:bCs/>
          <w:lang w:eastAsia="zh-CN"/>
        </w:rPr>
        <w:sectPr>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hint="eastAsia"/>
          <w:lang w:val="en-US" w:eastAsia="zh-CN"/>
        </w:rPr>
        <w:t xml:space="preserve">                                                         </w:t>
      </w:r>
      <w:r>
        <w:rPr>
          <w:rFonts w:hint="eastAsia"/>
          <w:b/>
          <w:bCs/>
          <w:lang w:eastAsia="zh-CN"/>
        </w:rPr>
        <w:t>建设项目周边情况图</w:t>
      </w:r>
    </w:p>
    <w:p>
      <w:r>
        <w:drawing>
          <wp:inline distT="0" distB="0" distL="114300" distR="114300">
            <wp:extent cx="8848725" cy="49720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8848725" cy="4972050"/>
                    </a:xfrm>
                    <a:prstGeom prst="rect">
                      <a:avLst/>
                    </a:prstGeom>
                    <a:noFill/>
                    <a:ln>
                      <a:noFill/>
                    </a:ln>
                  </pic:spPr>
                </pic:pic>
              </a:graphicData>
            </a:graphic>
          </wp:inline>
        </w:drawing>
      </w:r>
    </w:p>
    <w:p>
      <w:pPr>
        <w:ind w:firstLine="6023" w:firstLineChars="2500"/>
        <w:rPr>
          <w:rFonts w:hint="eastAsia" w:eastAsia="宋体"/>
          <w:b/>
          <w:bCs/>
          <w:sz w:val="24"/>
          <w:szCs w:val="32"/>
          <w:lang w:eastAsia="zh-CN"/>
        </w:rPr>
        <w:sectPr>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hint="eastAsia"/>
          <w:b/>
          <w:bCs/>
          <w:sz w:val="24"/>
          <w:szCs w:val="32"/>
          <w:lang w:eastAsia="zh-CN"/>
        </w:rPr>
        <w:t>本项目平面布置图</w:t>
      </w:r>
    </w:p>
    <w:p>
      <w:pPr>
        <w:bidi w:val="0"/>
        <w:rPr>
          <w:rFonts w:hint="eastAsia"/>
          <w:lang w:val="en-US" w:eastAsia="zh-CN"/>
        </w:rPr>
      </w:pPr>
      <w:r>
        <w:rPr>
          <w:rFonts w:hint="eastAsia"/>
          <w:lang w:val="en-US" w:eastAsia="zh-CN"/>
        </w:rPr>
        <w:drawing>
          <wp:inline distT="0" distB="0" distL="114300" distR="114300">
            <wp:extent cx="5709920" cy="8888095"/>
            <wp:effectExtent l="0" t="0" r="5080" b="8255"/>
            <wp:docPr id="5" name="图片 5" descr="用地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用地证明"/>
                    <pic:cNvPicPr>
                      <a:picLocks noChangeAspect="1"/>
                    </pic:cNvPicPr>
                  </pic:nvPicPr>
                  <pic:blipFill>
                    <a:blip r:embed="rId15"/>
                    <a:stretch>
                      <a:fillRect/>
                    </a:stretch>
                  </pic:blipFill>
                  <pic:spPr>
                    <a:xfrm>
                      <a:off x="0" y="0"/>
                      <a:ext cx="5709920" cy="888809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935345" cy="8418830"/>
            <wp:effectExtent l="0" t="0" r="8255" b="1270"/>
            <wp:docPr id="6" name="图片 6" descr="超达傢 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超达傢 执照"/>
                    <pic:cNvPicPr>
                      <a:picLocks noChangeAspect="1"/>
                    </pic:cNvPicPr>
                  </pic:nvPicPr>
                  <pic:blipFill>
                    <a:blip r:embed="rId16"/>
                    <a:stretch>
                      <a:fillRect/>
                    </a:stretch>
                  </pic:blipFill>
                  <pic:spPr>
                    <a:xfrm>
                      <a:off x="0" y="0"/>
                      <a:ext cx="5935345" cy="841883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935345" cy="7914005"/>
            <wp:effectExtent l="0" t="0" r="8255" b="10795"/>
            <wp:docPr id="7" name="图片 7" descr="超达傢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超达傢批复1"/>
                    <pic:cNvPicPr>
                      <a:picLocks noChangeAspect="1"/>
                    </pic:cNvPicPr>
                  </pic:nvPicPr>
                  <pic:blipFill>
                    <a:blip r:embed="rId17"/>
                    <a:stretch>
                      <a:fillRect/>
                    </a:stretch>
                  </pic:blipFill>
                  <pic:spPr>
                    <a:xfrm>
                      <a:off x="0" y="0"/>
                      <a:ext cx="5935345" cy="791400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pStyle w:val="30"/>
        <w:ind w:left="0" w:leftChars="0" w:firstLine="0" w:firstLineChars="0"/>
        <w:rPr>
          <w:rFonts w:hint="eastAsia"/>
          <w:lang w:val="en-US" w:eastAsia="zh-CN"/>
        </w:rPr>
        <w:sectPr>
          <w:pgSz w:w="11906" w:h="16838"/>
          <w:pgMar w:top="1417" w:right="1134" w:bottom="1417" w:left="1134" w:header="850" w:footer="992" w:gutter="283"/>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anchor distT="0" distB="0" distL="114300" distR="114300" simplePos="0" relativeHeight="251705344" behindDoc="0" locked="0" layoutInCell="1" allowOverlap="1">
            <wp:simplePos x="0" y="0"/>
            <wp:positionH relativeFrom="column">
              <wp:posOffset>-1109345</wp:posOffset>
            </wp:positionH>
            <wp:positionV relativeFrom="paragraph">
              <wp:posOffset>1372235</wp:posOffset>
            </wp:positionV>
            <wp:extent cx="7776845" cy="5520690"/>
            <wp:effectExtent l="0" t="0" r="3810" b="14605"/>
            <wp:wrapSquare wrapText="bothSides"/>
            <wp:docPr id="8" name="图片 8" descr="超达傢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超达傢批复2"/>
                    <pic:cNvPicPr>
                      <a:picLocks noChangeAspect="1"/>
                    </pic:cNvPicPr>
                  </pic:nvPicPr>
                  <pic:blipFill>
                    <a:blip r:embed="rId18"/>
                    <a:stretch>
                      <a:fillRect/>
                    </a:stretch>
                  </pic:blipFill>
                  <pic:spPr>
                    <a:xfrm rot="16200000">
                      <a:off x="0" y="0"/>
                      <a:ext cx="7776845" cy="5520690"/>
                    </a:xfrm>
                    <a:prstGeom prst="rect">
                      <a:avLst/>
                    </a:prstGeom>
                  </pic:spPr>
                </pic:pic>
              </a:graphicData>
            </a:graphic>
          </wp:anchor>
        </w:drawing>
      </w:r>
      <w:r>
        <w:rPr>
          <w:rFonts w:hint="eastAsia"/>
          <w:lang w:val="en-US" w:eastAsia="zh-CN"/>
        </w:rPr>
        <w:t xml:space="preserve">                                                                                                      </w:t>
      </w: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rPr>
          <w:rFonts w:hint="eastAsia"/>
          <w:lang w:val="en-US" w:eastAsia="zh-CN"/>
        </w:rPr>
      </w:pPr>
    </w:p>
    <w:p>
      <w:pPr>
        <w:pStyle w:val="22"/>
        <w:rPr>
          <w:rFonts w:hint="eastAsia"/>
          <w:lang w:val="en-US" w:eastAsia="zh-CN"/>
        </w:rPr>
      </w:pPr>
    </w:p>
    <w:p>
      <w:pPr>
        <w:pStyle w:val="30"/>
        <w:ind w:left="0" w:leftChars="0" w:firstLine="0" w:firstLineChars="0"/>
        <w:rPr>
          <w:rFonts w:ascii="宋体" w:hAnsi="宋体"/>
          <w:sz w:val="18"/>
          <w:szCs w:val="18"/>
        </w:rPr>
      </w:pPr>
      <w:r>
        <w:rPr>
          <w:rFonts w:hint="eastAsia"/>
          <w:lang w:val="en-US" w:eastAsia="zh-CN"/>
        </w:rPr>
        <w:t xml:space="preserve"> </w:t>
      </w:r>
      <w:r>
        <w:rPr>
          <w:sz w:val="28"/>
        </w:rPr>
        <w:pict>
          <v:shape id="_x0000_s2115" o:spid="_x0000_s2115" o:spt="202" type="#_x0000_t202" style="position:absolute;left:0pt;margin-left:293.95pt;margin-top:598.7pt;height:18pt;width:84pt;z-index:251703296;mso-width-relative:page;mso-height-relative:page;" fillcolor="#FFFFFF" filled="t" stroked="f" coordsize="21600,21600">
            <v:path/>
            <v:fill on="t" color2="#FFFFFF" focussize="0,0"/>
            <v:stroke on="f"/>
            <v:imagedata o:title=""/>
            <o:lock v:ext="edit" aspectratio="f"/>
            <v:textbox>
              <w:txbxContent>
                <w:p/>
              </w:txbxContent>
            </v:textbox>
          </v:shape>
        </w:pict>
      </w:r>
      <w:r>
        <w:rPr>
          <w:rFonts w:hint="eastAsia"/>
          <w:lang w:val="en-US" w:eastAsia="zh-CN"/>
        </w:rPr>
        <w:t xml:space="preserve">                               </w:t>
      </w:r>
    </w:p>
    <w:sectPr>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1258"/>
      <w:docPartObj>
        <w:docPartGallery w:val="autotext"/>
      </w:docPartObj>
    </w:sdtPr>
    <w:sdtContent>
      <w:p>
        <w:pPr>
          <w:pStyle w:val="15"/>
          <w:ind w:firstLine="360"/>
          <w:jc w:val="center"/>
        </w:pPr>
        <w:r>
          <w:rPr>
            <w:lang w:val="zh-CN"/>
          </w:rPr>
          <w:fldChar w:fldCharType="begin"/>
        </w:r>
        <w:r>
          <w:rPr>
            <w:lang w:val="zh-CN"/>
          </w:rPr>
          <w:instrText xml:space="preserve"> PAGE   \* MERGEFORMAT </w:instrText>
        </w:r>
        <w:r>
          <w:rPr>
            <w:lang w:val="zh-CN"/>
          </w:rPr>
          <w:fldChar w:fldCharType="separate"/>
        </w:r>
        <w:r>
          <w:rPr>
            <w:lang w:val="zh-CN"/>
          </w:rPr>
          <w:t>17</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0"/>
      </w:pBdr>
      <w:ind w:firstLine="480"/>
      <w:rPr>
        <w:sz w:val="21"/>
        <w:szCs w:val="21"/>
      </w:rPr>
    </w:pPr>
    <w:r>
      <w:rPr>
        <w:rFonts w:hint="eastAsia" w:ascii="宋体" w:hAnsi="宋体"/>
        <w:sz w:val="21"/>
        <w:szCs w:val="21"/>
      </w:rPr>
      <w:t>延边金正商品混凝土有限公司混凝土搅拌站建设项目竣工环境保护验收监测报告表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宋体" w:hAnsi="宋体"/>
        <w:bCs/>
        <w:szCs w:val="21"/>
      </w:rPr>
    </w:pPr>
    <w:r>
      <w:rPr>
        <w:rFonts w:hint="eastAsia" w:ascii="仿宋" w:hAnsi="仿宋" w:eastAsia="仿宋" w:cs="仿宋"/>
        <w:bCs/>
        <w:szCs w:val="21"/>
      </w:rPr>
      <w:t>德惠市万宝镇超达傢木门加工厂年产免漆强化木门4000套项目竣工环境保护验收监测报告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3174A"/>
    <w:multiLevelType w:val="singleLevel"/>
    <w:tmpl w:val="D0E3174A"/>
    <w:lvl w:ilvl="0" w:tentative="0">
      <w:start w:val="2"/>
      <w:numFmt w:val="decimal"/>
      <w:suff w:val="nothing"/>
      <w:lvlText w:val="%1、"/>
      <w:lvlJc w:val="left"/>
    </w:lvl>
  </w:abstractNum>
  <w:abstractNum w:abstractNumId="1">
    <w:nsid w:val="D7811A89"/>
    <w:multiLevelType w:val="singleLevel"/>
    <w:tmpl w:val="D7811A89"/>
    <w:lvl w:ilvl="0" w:tentative="0">
      <w:start w:val="2"/>
      <w:numFmt w:val="decimal"/>
      <w:suff w:val="nothing"/>
      <w:lvlText w:val="（%1）"/>
      <w:lvlJc w:val="left"/>
    </w:lvl>
  </w:abstractNum>
  <w:abstractNum w:abstractNumId="2">
    <w:nsid w:val="0B83F01A"/>
    <w:multiLevelType w:val="singleLevel"/>
    <w:tmpl w:val="0B83F01A"/>
    <w:lvl w:ilvl="0" w:tentative="0">
      <w:start w:val="3"/>
      <w:numFmt w:val="decimal"/>
      <w:suff w:val="nothing"/>
      <w:lvlText w:val="%1、"/>
      <w:lvlJc w:val="left"/>
    </w:lvl>
  </w:abstractNum>
  <w:abstractNum w:abstractNumId="3">
    <w:nsid w:val="2E71E05D"/>
    <w:multiLevelType w:val="singleLevel"/>
    <w:tmpl w:val="2E71E05D"/>
    <w:lvl w:ilvl="0" w:tentative="0">
      <w:start w:val="1"/>
      <w:numFmt w:val="decimal"/>
      <w:suff w:val="nothing"/>
      <w:lvlText w:val="%1、"/>
      <w:lvlJc w:val="left"/>
    </w:lvl>
  </w:abstractNum>
  <w:abstractNum w:abstractNumId="4">
    <w:nsid w:val="67A2AF19"/>
    <w:multiLevelType w:val="singleLevel"/>
    <w:tmpl w:val="67A2AF19"/>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A12FF"/>
    <w:rsid w:val="0000036F"/>
    <w:rsid w:val="00000788"/>
    <w:rsid w:val="0000278F"/>
    <w:rsid w:val="00002EAD"/>
    <w:rsid w:val="0000331A"/>
    <w:rsid w:val="00004465"/>
    <w:rsid w:val="000057AE"/>
    <w:rsid w:val="00005E7C"/>
    <w:rsid w:val="00011AC1"/>
    <w:rsid w:val="000124B3"/>
    <w:rsid w:val="00012F16"/>
    <w:rsid w:val="00016326"/>
    <w:rsid w:val="0001708D"/>
    <w:rsid w:val="00017972"/>
    <w:rsid w:val="000201D1"/>
    <w:rsid w:val="000238EF"/>
    <w:rsid w:val="00024E15"/>
    <w:rsid w:val="00024E22"/>
    <w:rsid w:val="00024FD5"/>
    <w:rsid w:val="00025E94"/>
    <w:rsid w:val="00026EE2"/>
    <w:rsid w:val="00027589"/>
    <w:rsid w:val="000327D7"/>
    <w:rsid w:val="00032AEA"/>
    <w:rsid w:val="00034212"/>
    <w:rsid w:val="00034FF3"/>
    <w:rsid w:val="0003578A"/>
    <w:rsid w:val="00036CC7"/>
    <w:rsid w:val="00042DFB"/>
    <w:rsid w:val="00043FB9"/>
    <w:rsid w:val="00044534"/>
    <w:rsid w:val="000458FB"/>
    <w:rsid w:val="00045E0A"/>
    <w:rsid w:val="000473AA"/>
    <w:rsid w:val="0005011F"/>
    <w:rsid w:val="00050BF5"/>
    <w:rsid w:val="0005242C"/>
    <w:rsid w:val="00053A6B"/>
    <w:rsid w:val="00055D2C"/>
    <w:rsid w:val="00060177"/>
    <w:rsid w:val="00063B52"/>
    <w:rsid w:val="00064863"/>
    <w:rsid w:val="0006507B"/>
    <w:rsid w:val="000658F7"/>
    <w:rsid w:val="00066421"/>
    <w:rsid w:val="00070AA9"/>
    <w:rsid w:val="000711A0"/>
    <w:rsid w:val="000718AA"/>
    <w:rsid w:val="000732EC"/>
    <w:rsid w:val="00076C9D"/>
    <w:rsid w:val="0007717E"/>
    <w:rsid w:val="000820D7"/>
    <w:rsid w:val="00082432"/>
    <w:rsid w:val="00085BC4"/>
    <w:rsid w:val="0008612A"/>
    <w:rsid w:val="00090CE7"/>
    <w:rsid w:val="000917B6"/>
    <w:rsid w:val="00091BD0"/>
    <w:rsid w:val="000A1BEB"/>
    <w:rsid w:val="000A314A"/>
    <w:rsid w:val="000A4468"/>
    <w:rsid w:val="000A68B2"/>
    <w:rsid w:val="000B0CCF"/>
    <w:rsid w:val="000B1DB7"/>
    <w:rsid w:val="000B3A7B"/>
    <w:rsid w:val="000B4F8D"/>
    <w:rsid w:val="000B6276"/>
    <w:rsid w:val="000C38F5"/>
    <w:rsid w:val="000C3CCE"/>
    <w:rsid w:val="000C425E"/>
    <w:rsid w:val="000C5820"/>
    <w:rsid w:val="000C5A82"/>
    <w:rsid w:val="000D03FB"/>
    <w:rsid w:val="000D169A"/>
    <w:rsid w:val="000D2025"/>
    <w:rsid w:val="000D2305"/>
    <w:rsid w:val="000D6553"/>
    <w:rsid w:val="000D7FF5"/>
    <w:rsid w:val="000E0710"/>
    <w:rsid w:val="000E1C93"/>
    <w:rsid w:val="000E42EF"/>
    <w:rsid w:val="000E4656"/>
    <w:rsid w:val="000E4EF4"/>
    <w:rsid w:val="000E6201"/>
    <w:rsid w:val="000E707C"/>
    <w:rsid w:val="000E70D7"/>
    <w:rsid w:val="000F0062"/>
    <w:rsid w:val="000F1208"/>
    <w:rsid w:val="000F1BCD"/>
    <w:rsid w:val="000F27EA"/>
    <w:rsid w:val="000F3FC4"/>
    <w:rsid w:val="000F40E8"/>
    <w:rsid w:val="000F5489"/>
    <w:rsid w:val="000F682E"/>
    <w:rsid w:val="000F6872"/>
    <w:rsid w:val="000F6D05"/>
    <w:rsid w:val="000F7B79"/>
    <w:rsid w:val="00100225"/>
    <w:rsid w:val="001005F9"/>
    <w:rsid w:val="001011A6"/>
    <w:rsid w:val="00111B8A"/>
    <w:rsid w:val="0011277A"/>
    <w:rsid w:val="00113573"/>
    <w:rsid w:val="00113E19"/>
    <w:rsid w:val="00114866"/>
    <w:rsid w:val="001205DD"/>
    <w:rsid w:val="001211CF"/>
    <w:rsid w:val="0012301A"/>
    <w:rsid w:val="00123115"/>
    <w:rsid w:val="00125F54"/>
    <w:rsid w:val="00130D2E"/>
    <w:rsid w:val="0013137F"/>
    <w:rsid w:val="00132E2B"/>
    <w:rsid w:val="00133721"/>
    <w:rsid w:val="001340DC"/>
    <w:rsid w:val="00134D1E"/>
    <w:rsid w:val="001352F2"/>
    <w:rsid w:val="00136681"/>
    <w:rsid w:val="00137CCB"/>
    <w:rsid w:val="001402B9"/>
    <w:rsid w:val="00142292"/>
    <w:rsid w:val="0014352A"/>
    <w:rsid w:val="001438C5"/>
    <w:rsid w:val="00144C2C"/>
    <w:rsid w:val="00147225"/>
    <w:rsid w:val="00147F44"/>
    <w:rsid w:val="001500E6"/>
    <w:rsid w:val="0015051E"/>
    <w:rsid w:val="00151649"/>
    <w:rsid w:val="0015428F"/>
    <w:rsid w:val="0015667A"/>
    <w:rsid w:val="001622D9"/>
    <w:rsid w:val="0016281F"/>
    <w:rsid w:val="00163DD6"/>
    <w:rsid w:val="00164DBA"/>
    <w:rsid w:val="001676E4"/>
    <w:rsid w:val="001733A3"/>
    <w:rsid w:val="00173975"/>
    <w:rsid w:val="001749D6"/>
    <w:rsid w:val="001755E7"/>
    <w:rsid w:val="00175BBE"/>
    <w:rsid w:val="00176FC9"/>
    <w:rsid w:val="001779F1"/>
    <w:rsid w:val="00180454"/>
    <w:rsid w:val="00180DF5"/>
    <w:rsid w:val="00181A4F"/>
    <w:rsid w:val="001831BE"/>
    <w:rsid w:val="0018633F"/>
    <w:rsid w:val="00190044"/>
    <w:rsid w:val="00192C8A"/>
    <w:rsid w:val="00193D8B"/>
    <w:rsid w:val="0019605F"/>
    <w:rsid w:val="00196BF7"/>
    <w:rsid w:val="00197477"/>
    <w:rsid w:val="00197D56"/>
    <w:rsid w:val="001A05AB"/>
    <w:rsid w:val="001A44EE"/>
    <w:rsid w:val="001B5ADE"/>
    <w:rsid w:val="001B74B5"/>
    <w:rsid w:val="001B753E"/>
    <w:rsid w:val="001C12FF"/>
    <w:rsid w:val="001C1F24"/>
    <w:rsid w:val="001C2AC6"/>
    <w:rsid w:val="001C3CE9"/>
    <w:rsid w:val="001C4690"/>
    <w:rsid w:val="001D240C"/>
    <w:rsid w:val="001D3A40"/>
    <w:rsid w:val="001D42BB"/>
    <w:rsid w:val="001D620D"/>
    <w:rsid w:val="001D7029"/>
    <w:rsid w:val="001D74BE"/>
    <w:rsid w:val="001D7C6D"/>
    <w:rsid w:val="001E0914"/>
    <w:rsid w:val="001E54AD"/>
    <w:rsid w:val="001E5E59"/>
    <w:rsid w:val="001E5E63"/>
    <w:rsid w:val="001E73E8"/>
    <w:rsid w:val="001F1D16"/>
    <w:rsid w:val="001F2E91"/>
    <w:rsid w:val="001F3034"/>
    <w:rsid w:val="001F45D6"/>
    <w:rsid w:val="001F5470"/>
    <w:rsid w:val="001F6748"/>
    <w:rsid w:val="00200C67"/>
    <w:rsid w:val="00201AD6"/>
    <w:rsid w:val="00201F9B"/>
    <w:rsid w:val="00202629"/>
    <w:rsid w:val="0020272F"/>
    <w:rsid w:val="00203BA6"/>
    <w:rsid w:val="00204E00"/>
    <w:rsid w:val="002056B3"/>
    <w:rsid w:val="002063F0"/>
    <w:rsid w:val="00206A18"/>
    <w:rsid w:val="00206EF9"/>
    <w:rsid w:val="00213FF7"/>
    <w:rsid w:val="002156D1"/>
    <w:rsid w:val="00215905"/>
    <w:rsid w:val="00216DF1"/>
    <w:rsid w:val="00220561"/>
    <w:rsid w:val="002208E4"/>
    <w:rsid w:val="0022187E"/>
    <w:rsid w:val="00222CBF"/>
    <w:rsid w:val="00223125"/>
    <w:rsid w:val="002238FC"/>
    <w:rsid w:val="0022707B"/>
    <w:rsid w:val="00227A52"/>
    <w:rsid w:val="0023004C"/>
    <w:rsid w:val="002300A9"/>
    <w:rsid w:val="002301E5"/>
    <w:rsid w:val="00230F7E"/>
    <w:rsid w:val="0023501E"/>
    <w:rsid w:val="002350A8"/>
    <w:rsid w:val="00235194"/>
    <w:rsid w:val="00236202"/>
    <w:rsid w:val="002406FC"/>
    <w:rsid w:val="00240DAF"/>
    <w:rsid w:val="002412F3"/>
    <w:rsid w:val="00241F52"/>
    <w:rsid w:val="00242476"/>
    <w:rsid w:val="00242856"/>
    <w:rsid w:val="002445EA"/>
    <w:rsid w:val="002446A3"/>
    <w:rsid w:val="00245680"/>
    <w:rsid w:val="00245B60"/>
    <w:rsid w:val="00245E46"/>
    <w:rsid w:val="00246823"/>
    <w:rsid w:val="00246A4D"/>
    <w:rsid w:val="00246CE9"/>
    <w:rsid w:val="00247FF7"/>
    <w:rsid w:val="00250628"/>
    <w:rsid w:val="00252101"/>
    <w:rsid w:val="00252DD1"/>
    <w:rsid w:val="00255254"/>
    <w:rsid w:val="00255B3A"/>
    <w:rsid w:val="00256BDE"/>
    <w:rsid w:val="00260140"/>
    <w:rsid w:val="0026019C"/>
    <w:rsid w:val="00261A6C"/>
    <w:rsid w:val="00261BA3"/>
    <w:rsid w:val="0026381F"/>
    <w:rsid w:val="00264A5F"/>
    <w:rsid w:val="00266A62"/>
    <w:rsid w:val="00267BD2"/>
    <w:rsid w:val="00270940"/>
    <w:rsid w:val="00271E11"/>
    <w:rsid w:val="00272E18"/>
    <w:rsid w:val="00275033"/>
    <w:rsid w:val="002774E1"/>
    <w:rsid w:val="00280224"/>
    <w:rsid w:val="00283318"/>
    <w:rsid w:val="00285537"/>
    <w:rsid w:val="002878F3"/>
    <w:rsid w:val="002906C4"/>
    <w:rsid w:val="00290ABD"/>
    <w:rsid w:val="00290D51"/>
    <w:rsid w:val="00292A4E"/>
    <w:rsid w:val="00292BE1"/>
    <w:rsid w:val="002963E8"/>
    <w:rsid w:val="002972ED"/>
    <w:rsid w:val="0029791D"/>
    <w:rsid w:val="002A0ABA"/>
    <w:rsid w:val="002A111A"/>
    <w:rsid w:val="002A4941"/>
    <w:rsid w:val="002A5C27"/>
    <w:rsid w:val="002A6285"/>
    <w:rsid w:val="002A687A"/>
    <w:rsid w:val="002A6D54"/>
    <w:rsid w:val="002A7322"/>
    <w:rsid w:val="002B0280"/>
    <w:rsid w:val="002B06E0"/>
    <w:rsid w:val="002B08F2"/>
    <w:rsid w:val="002B1117"/>
    <w:rsid w:val="002B27CF"/>
    <w:rsid w:val="002B394D"/>
    <w:rsid w:val="002B58D1"/>
    <w:rsid w:val="002B6E84"/>
    <w:rsid w:val="002B70F4"/>
    <w:rsid w:val="002C04A7"/>
    <w:rsid w:val="002C1F15"/>
    <w:rsid w:val="002C3874"/>
    <w:rsid w:val="002C674E"/>
    <w:rsid w:val="002C7178"/>
    <w:rsid w:val="002C73CD"/>
    <w:rsid w:val="002C7FA2"/>
    <w:rsid w:val="002D097C"/>
    <w:rsid w:val="002D2B91"/>
    <w:rsid w:val="002D36B7"/>
    <w:rsid w:val="002D48B1"/>
    <w:rsid w:val="002D55FB"/>
    <w:rsid w:val="002D561A"/>
    <w:rsid w:val="002D5A67"/>
    <w:rsid w:val="002E05B5"/>
    <w:rsid w:val="002E0AFD"/>
    <w:rsid w:val="002E0D2C"/>
    <w:rsid w:val="002E2E7E"/>
    <w:rsid w:val="002E394B"/>
    <w:rsid w:val="002E3CBC"/>
    <w:rsid w:val="002E4A24"/>
    <w:rsid w:val="002E65B1"/>
    <w:rsid w:val="002E6BC0"/>
    <w:rsid w:val="002E775E"/>
    <w:rsid w:val="002F0C33"/>
    <w:rsid w:val="002F1054"/>
    <w:rsid w:val="002F2931"/>
    <w:rsid w:val="002F3BD3"/>
    <w:rsid w:val="002F4EA9"/>
    <w:rsid w:val="003010DE"/>
    <w:rsid w:val="003017FB"/>
    <w:rsid w:val="00301915"/>
    <w:rsid w:val="0030397F"/>
    <w:rsid w:val="00303EC4"/>
    <w:rsid w:val="003042A7"/>
    <w:rsid w:val="0030527B"/>
    <w:rsid w:val="00305C0F"/>
    <w:rsid w:val="003062B7"/>
    <w:rsid w:val="00307173"/>
    <w:rsid w:val="0030747A"/>
    <w:rsid w:val="0030796A"/>
    <w:rsid w:val="0030796E"/>
    <w:rsid w:val="003102ED"/>
    <w:rsid w:val="0031169C"/>
    <w:rsid w:val="00311AFC"/>
    <w:rsid w:val="003120EF"/>
    <w:rsid w:val="003127FD"/>
    <w:rsid w:val="0031511B"/>
    <w:rsid w:val="0031778E"/>
    <w:rsid w:val="00323A54"/>
    <w:rsid w:val="00325694"/>
    <w:rsid w:val="0032631D"/>
    <w:rsid w:val="003337CE"/>
    <w:rsid w:val="00335A7B"/>
    <w:rsid w:val="003371FD"/>
    <w:rsid w:val="00340E5E"/>
    <w:rsid w:val="003417E5"/>
    <w:rsid w:val="003420C5"/>
    <w:rsid w:val="0034304D"/>
    <w:rsid w:val="0034362D"/>
    <w:rsid w:val="003445F2"/>
    <w:rsid w:val="0034468C"/>
    <w:rsid w:val="00350EB5"/>
    <w:rsid w:val="00351E43"/>
    <w:rsid w:val="003524DC"/>
    <w:rsid w:val="00352BE1"/>
    <w:rsid w:val="00354CAA"/>
    <w:rsid w:val="00355984"/>
    <w:rsid w:val="00355BCE"/>
    <w:rsid w:val="00356639"/>
    <w:rsid w:val="00356AEE"/>
    <w:rsid w:val="00357685"/>
    <w:rsid w:val="00357A75"/>
    <w:rsid w:val="003654E1"/>
    <w:rsid w:val="003669D0"/>
    <w:rsid w:val="00366FBC"/>
    <w:rsid w:val="00372DE0"/>
    <w:rsid w:val="003736C1"/>
    <w:rsid w:val="00373F74"/>
    <w:rsid w:val="003777A2"/>
    <w:rsid w:val="0038096B"/>
    <w:rsid w:val="00380A1F"/>
    <w:rsid w:val="00380C65"/>
    <w:rsid w:val="00380E2B"/>
    <w:rsid w:val="0038263B"/>
    <w:rsid w:val="00383141"/>
    <w:rsid w:val="003833A7"/>
    <w:rsid w:val="003834ED"/>
    <w:rsid w:val="00384ADA"/>
    <w:rsid w:val="00386B50"/>
    <w:rsid w:val="00387676"/>
    <w:rsid w:val="00387944"/>
    <w:rsid w:val="00391ABD"/>
    <w:rsid w:val="003925B7"/>
    <w:rsid w:val="00392665"/>
    <w:rsid w:val="00392E8D"/>
    <w:rsid w:val="003961AD"/>
    <w:rsid w:val="003969E4"/>
    <w:rsid w:val="00397978"/>
    <w:rsid w:val="003A14EA"/>
    <w:rsid w:val="003A1549"/>
    <w:rsid w:val="003A3BDB"/>
    <w:rsid w:val="003A6084"/>
    <w:rsid w:val="003B1A0D"/>
    <w:rsid w:val="003B2EBB"/>
    <w:rsid w:val="003B3DED"/>
    <w:rsid w:val="003B4066"/>
    <w:rsid w:val="003B467C"/>
    <w:rsid w:val="003B4702"/>
    <w:rsid w:val="003B6045"/>
    <w:rsid w:val="003B6758"/>
    <w:rsid w:val="003B67E5"/>
    <w:rsid w:val="003B6CD6"/>
    <w:rsid w:val="003C092B"/>
    <w:rsid w:val="003C2871"/>
    <w:rsid w:val="003C34F2"/>
    <w:rsid w:val="003C455C"/>
    <w:rsid w:val="003C61C4"/>
    <w:rsid w:val="003C6F93"/>
    <w:rsid w:val="003C70E4"/>
    <w:rsid w:val="003D3CBB"/>
    <w:rsid w:val="003D4270"/>
    <w:rsid w:val="003D4523"/>
    <w:rsid w:val="003D5B50"/>
    <w:rsid w:val="003D62FF"/>
    <w:rsid w:val="003D6D08"/>
    <w:rsid w:val="003D77EC"/>
    <w:rsid w:val="003E04FF"/>
    <w:rsid w:val="003E09B7"/>
    <w:rsid w:val="003E5283"/>
    <w:rsid w:val="003F0E32"/>
    <w:rsid w:val="003F13D0"/>
    <w:rsid w:val="003F2366"/>
    <w:rsid w:val="003F3DBB"/>
    <w:rsid w:val="003F4689"/>
    <w:rsid w:val="003F4950"/>
    <w:rsid w:val="003F5942"/>
    <w:rsid w:val="0040133E"/>
    <w:rsid w:val="00401CDB"/>
    <w:rsid w:val="0040309E"/>
    <w:rsid w:val="004068D0"/>
    <w:rsid w:val="0041491F"/>
    <w:rsid w:val="00415108"/>
    <w:rsid w:val="00415DF1"/>
    <w:rsid w:val="00421881"/>
    <w:rsid w:val="0042232A"/>
    <w:rsid w:val="004233C2"/>
    <w:rsid w:val="004234BE"/>
    <w:rsid w:val="00423545"/>
    <w:rsid w:val="004253D4"/>
    <w:rsid w:val="00425E40"/>
    <w:rsid w:val="0042675B"/>
    <w:rsid w:val="00430F80"/>
    <w:rsid w:val="00431AE6"/>
    <w:rsid w:val="00431D9D"/>
    <w:rsid w:val="00433CA1"/>
    <w:rsid w:val="004351B1"/>
    <w:rsid w:val="004377AD"/>
    <w:rsid w:val="00441502"/>
    <w:rsid w:val="0044212A"/>
    <w:rsid w:val="00442213"/>
    <w:rsid w:val="0044474C"/>
    <w:rsid w:val="00444838"/>
    <w:rsid w:val="004463A8"/>
    <w:rsid w:val="004465F3"/>
    <w:rsid w:val="0044700D"/>
    <w:rsid w:val="0044751C"/>
    <w:rsid w:val="00447890"/>
    <w:rsid w:val="00450DA8"/>
    <w:rsid w:val="00452083"/>
    <w:rsid w:val="004527FA"/>
    <w:rsid w:val="004575C4"/>
    <w:rsid w:val="004602D9"/>
    <w:rsid w:val="00461743"/>
    <w:rsid w:val="004648A4"/>
    <w:rsid w:val="00466E10"/>
    <w:rsid w:val="0047057F"/>
    <w:rsid w:val="004709CA"/>
    <w:rsid w:val="00471692"/>
    <w:rsid w:val="00473B7A"/>
    <w:rsid w:val="00475347"/>
    <w:rsid w:val="0047750C"/>
    <w:rsid w:val="00481D7E"/>
    <w:rsid w:val="004828B0"/>
    <w:rsid w:val="00484DE8"/>
    <w:rsid w:val="0048593D"/>
    <w:rsid w:val="004872FA"/>
    <w:rsid w:val="004900AE"/>
    <w:rsid w:val="004903E8"/>
    <w:rsid w:val="00490F14"/>
    <w:rsid w:val="00491133"/>
    <w:rsid w:val="004911C5"/>
    <w:rsid w:val="0049259A"/>
    <w:rsid w:val="00492BA5"/>
    <w:rsid w:val="00492E59"/>
    <w:rsid w:val="004946DF"/>
    <w:rsid w:val="0049606F"/>
    <w:rsid w:val="004973EF"/>
    <w:rsid w:val="004A0721"/>
    <w:rsid w:val="004A12FF"/>
    <w:rsid w:val="004A154D"/>
    <w:rsid w:val="004A1AF2"/>
    <w:rsid w:val="004A3F92"/>
    <w:rsid w:val="004A5ED5"/>
    <w:rsid w:val="004A6140"/>
    <w:rsid w:val="004A698C"/>
    <w:rsid w:val="004B2656"/>
    <w:rsid w:val="004B3A18"/>
    <w:rsid w:val="004B3EC8"/>
    <w:rsid w:val="004B455E"/>
    <w:rsid w:val="004B607F"/>
    <w:rsid w:val="004B6E4F"/>
    <w:rsid w:val="004B76B9"/>
    <w:rsid w:val="004C19BF"/>
    <w:rsid w:val="004C3153"/>
    <w:rsid w:val="004C49D4"/>
    <w:rsid w:val="004C7259"/>
    <w:rsid w:val="004D1F06"/>
    <w:rsid w:val="004D301E"/>
    <w:rsid w:val="004D4C35"/>
    <w:rsid w:val="004D4DCE"/>
    <w:rsid w:val="004D5688"/>
    <w:rsid w:val="004D7506"/>
    <w:rsid w:val="004E0E83"/>
    <w:rsid w:val="004E1468"/>
    <w:rsid w:val="004E19CB"/>
    <w:rsid w:val="004E7C06"/>
    <w:rsid w:val="004F09BB"/>
    <w:rsid w:val="004F1705"/>
    <w:rsid w:val="004F1B0E"/>
    <w:rsid w:val="004F2616"/>
    <w:rsid w:val="004F36E4"/>
    <w:rsid w:val="004F36EA"/>
    <w:rsid w:val="004F5B64"/>
    <w:rsid w:val="00501D65"/>
    <w:rsid w:val="00502483"/>
    <w:rsid w:val="005029B7"/>
    <w:rsid w:val="00503B4C"/>
    <w:rsid w:val="00504D7F"/>
    <w:rsid w:val="00506EB1"/>
    <w:rsid w:val="00507FCC"/>
    <w:rsid w:val="005115E6"/>
    <w:rsid w:val="0051295E"/>
    <w:rsid w:val="00512C9D"/>
    <w:rsid w:val="00514629"/>
    <w:rsid w:val="005156E5"/>
    <w:rsid w:val="005215A8"/>
    <w:rsid w:val="00522FC7"/>
    <w:rsid w:val="0052598B"/>
    <w:rsid w:val="00525D45"/>
    <w:rsid w:val="0052641B"/>
    <w:rsid w:val="00527A9C"/>
    <w:rsid w:val="00531516"/>
    <w:rsid w:val="00532BDD"/>
    <w:rsid w:val="00533ED1"/>
    <w:rsid w:val="0053521F"/>
    <w:rsid w:val="00536011"/>
    <w:rsid w:val="005428AA"/>
    <w:rsid w:val="005433AE"/>
    <w:rsid w:val="00544AEC"/>
    <w:rsid w:val="005451FB"/>
    <w:rsid w:val="005459AF"/>
    <w:rsid w:val="005464D2"/>
    <w:rsid w:val="00546A3E"/>
    <w:rsid w:val="00546B51"/>
    <w:rsid w:val="00547F3C"/>
    <w:rsid w:val="005517A7"/>
    <w:rsid w:val="0055281F"/>
    <w:rsid w:val="00552A73"/>
    <w:rsid w:val="005543E2"/>
    <w:rsid w:val="005569BA"/>
    <w:rsid w:val="00557CBD"/>
    <w:rsid w:val="005618D4"/>
    <w:rsid w:val="00564C8D"/>
    <w:rsid w:val="005650A4"/>
    <w:rsid w:val="00570292"/>
    <w:rsid w:val="00570D43"/>
    <w:rsid w:val="00570E72"/>
    <w:rsid w:val="005756E3"/>
    <w:rsid w:val="0057745F"/>
    <w:rsid w:val="005806BD"/>
    <w:rsid w:val="0058131B"/>
    <w:rsid w:val="00581337"/>
    <w:rsid w:val="00581E2A"/>
    <w:rsid w:val="00583B43"/>
    <w:rsid w:val="00585038"/>
    <w:rsid w:val="0058535C"/>
    <w:rsid w:val="00587BB2"/>
    <w:rsid w:val="005910BC"/>
    <w:rsid w:val="005913BD"/>
    <w:rsid w:val="00592E68"/>
    <w:rsid w:val="00596219"/>
    <w:rsid w:val="005979F5"/>
    <w:rsid w:val="00597AE1"/>
    <w:rsid w:val="00597AEF"/>
    <w:rsid w:val="005A0870"/>
    <w:rsid w:val="005A3FD4"/>
    <w:rsid w:val="005A421E"/>
    <w:rsid w:val="005A67FB"/>
    <w:rsid w:val="005A6D90"/>
    <w:rsid w:val="005B0693"/>
    <w:rsid w:val="005B09A4"/>
    <w:rsid w:val="005B1D46"/>
    <w:rsid w:val="005B1F26"/>
    <w:rsid w:val="005B42E0"/>
    <w:rsid w:val="005B5257"/>
    <w:rsid w:val="005B671F"/>
    <w:rsid w:val="005B6E7E"/>
    <w:rsid w:val="005B74AB"/>
    <w:rsid w:val="005B790E"/>
    <w:rsid w:val="005C1714"/>
    <w:rsid w:val="005C3F1C"/>
    <w:rsid w:val="005C45F3"/>
    <w:rsid w:val="005C5B1F"/>
    <w:rsid w:val="005C61BC"/>
    <w:rsid w:val="005C6338"/>
    <w:rsid w:val="005C6F48"/>
    <w:rsid w:val="005C7D47"/>
    <w:rsid w:val="005D086C"/>
    <w:rsid w:val="005D24A2"/>
    <w:rsid w:val="005D5C99"/>
    <w:rsid w:val="005D69B5"/>
    <w:rsid w:val="005E0BE1"/>
    <w:rsid w:val="005E1364"/>
    <w:rsid w:val="005E2242"/>
    <w:rsid w:val="005E3E60"/>
    <w:rsid w:val="005E3F62"/>
    <w:rsid w:val="005E5073"/>
    <w:rsid w:val="005E5E03"/>
    <w:rsid w:val="005E618E"/>
    <w:rsid w:val="005E6E1F"/>
    <w:rsid w:val="005E74F8"/>
    <w:rsid w:val="005E7ABC"/>
    <w:rsid w:val="005E7CA0"/>
    <w:rsid w:val="005F2EE3"/>
    <w:rsid w:val="005F4AB5"/>
    <w:rsid w:val="005F536A"/>
    <w:rsid w:val="005F59C2"/>
    <w:rsid w:val="005F5C3C"/>
    <w:rsid w:val="005F647D"/>
    <w:rsid w:val="005F6A8C"/>
    <w:rsid w:val="005F7077"/>
    <w:rsid w:val="006017AD"/>
    <w:rsid w:val="006063B5"/>
    <w:rsid w:val="006065E9"/>
    <w:rsid w:val="00606973"/>
    <w:rsid w:val="00607110"/>
    <w:rsid w:val="00610A95"/>
    <w:rsid w:val="00611622"/>
    <w:rsid w:val="0061571B"/>
    <w:rsid w:val="00616EE6"/>
    <w:rsid w:val="00617CA6"/>
    <w:rsid w:val="00620315"/>
    <w:rsid w:val="00624B1A"/>
    <w:rsid w:val="0062507D"/>
    <w:rsid w:val="00626074"/>
    <w:rsid w:val="00626810"/>
    <w:rsid w:val="00633210"/>
    <w:rsid w:val="00633B24"/>
    <w:rsid w:val="00633FE2"/>
    <w:rsid w:val="00635125"/>
    <w:rsid w:val="00636E90"/>
    <w:rsid w:val="0064030F"/>
    <w:rsid w:val="00640E10"/>
    <w:rsid w:val="00641039"/>
    <w:rsid w:val="00645749"/>
    <w:rsid w:val="006473F0"/>
    <w:rsid w:val="00647D90"/>
    <w:rsid w:val="00652541"/>
    <w:rsid w:val="00652840"/>
    <w:rsid w:val="0065466F"/>
    <w:rsid w:val="006554D6"/>
    <w:rsid w:val="0065795A"/>
    <w:rsid w:val="00661178"/>
    <w:rsid w:val="006632C4"/>
    <w:rsid w:val="00663483"/>
    <w:rsid w:val="0066350D"/>
    <w:rsid w:val="00663CD9"/>
    <w:rsid w:val="00665683"/>
    <w:rsid w:val="006659E1"/>
    <w:rsid w:val="00666AA4"/>
    <w:rsid w:val="00667DBA"/>
    <w:rsid w:val="00674A74"/>
    <w:rsid w:val="00674E8E"/>
    <w:rsid w:val="00675263"/>
    <w:rsid w:val="006769BF"/>
    <w:rsid w:val="00676CB7"/>
    <w:rsid w:val="00680841"/>
    <w:rsid w:val="006836FD"/>
    <w:rsid w:val="00686CE0"/>
    <w:rsid w:val="00691ED8"/>
    <w:rsid w:val="00692D0B"/>
    <w:rsid w:val="00692DEF"/>
    <w:rsid w:val="00693AD5"/>
    <w:rsid w:val="006A2317"/>
    <w:rsid w:val="006A3BFD"/>
    <w:rsid w:val="006A437D"/>
    <w:rsid w:val="006A4532"/>
    <w:rsid w:val="006A4CC4"/>
    <w:rsid w:val="006A6867"/>
    <w:rsid w:val="006A7329"/>
    <w:rsid w:val="006A7938"/>
    <w:rsid w:val="006A7C5D"/>
    <w:rsid w:val="006B0C99"/>
    <w:rsid w:val="006B729B"/>
    <w:rsid w:val="006C1E93"/>
    <w:rsid w:val="006C4874"/>
    <w:rsid w:val="006C4E20"/>
    <w:rsid w:val="006C5ACD"/>
    <w:rsid w:val="006C63CC"/>
    <w:rsid w:val="006D014A"/>
    <w:rsid w:val="006D1FA8"/>
    <w:rsid w:val="006D49EE"/>
    <w:rsid w:val="006D519D"/>
    <w:rsid w:val="006D6B9A"/>
    <w:rsid w:val="006D739F"/>
    <w:rsid w:val="006E03E8"/>
    <w:rsid w:val="006E040F"/>
    <w:rsid w:val="006E0648"/>
    <w:rsid w:val="006E15B9"/>
    <w:rsid w:val="006E3608"/>
    <w:rsid w:val="006E6347"/>
    <w:rsid w:val="006E694F"/>
    <w:rsid w:val="006E6A25"/>
    <w:rsid w:val="006E6C96"/>
    <w:rsid w:val="006F0FA1"/>
    <w:rsid w:val="006F1AD6"/>
    <w:rsid w:val="006F2016"/>
    <w:rsid w:val="006F34C6"/>
    <w:rsid w:val="006F44F0"/>
    <w:rsid w:val="006F61F6"/>
    <w:rsid w:val="006F6B2B"/>
    <w:rsid w:val="00700540"/>
    <w:rsid w:val="00701A47"/>
    <w:rsid w:val="00703016"/>
    <w:rsid w:val="00703042"/>
    <w:rsid w:val="007040F7"/>
    <w:rsid w:val="00707C47"/>
    <w:rsid w:val="0071129A"/>
    <w:rsid w:val="00711A93"/>
    <w:rsid w:val="00712E88"/>
    <w:rsid w:val="00712FF8"/>
    <w:rsid w:val="00713D5E"/>
    <w:rsid w:val="00714D17"/>
    <w:rsid w:val="00716526"/>
    <w:rsid w:val="0071706C"/>
    <w:rsid w:val="0072036D"/>
    <w:rsid w:val="007207F2"/>
    <w:rsid w:val="007215CD"/>
    <w:rsid w:val="007238C2"/>
    <w:rsid w:val="00723BA3"/>
    <w:rsid w:val="007273A1"/>
    <w:rsid w:val="007310BA"/>
    <w:rsid w:val="007313D0"/>
    <w:rsid w:val="00733077"/>
    <w:rsid w:val="00734343"/>
    <w:rsid w:val="00736B53"/>
    <w:rsid w:val="00736C36"/>
    <w:rsid w:val="00736E65"/>
    <w:rsid w:val="007410C3"/>
    <w:rsid w:val="00742501"/>
    <w:rsid w:val="00742778"/>
    <w:rsid w:val="0074420C"/>
    <w:rsid w:val="0074552E"/>
    <w:rsid w:val="00746B7B"/>
    <w:rsid w:val="00747939"/>
    <w:rsid w:val="00751F8E"/>
    <w:rsid w:val="007547E7"/>
    <w:rsid w:val="00754C5B"/>
    <w:rsid w:val="00755266"/>
    <w:rsid w:val="007559AC"/>
    <w:rsid w:val="00756534"/>
    <w:rsid w:val="007573E0"/>
    <w:rsid w:val="0076244D"/>
    <w:rsid w:val="00762803"/>
    <w:rsid w:val="0076409F"/>
    <w:rsid w:val="00765F36"/>
    <w:rsid w:val="00772014"/>
    <w:rsid w:val="00773C82"/>
    <w:rsid w:val="00777F2F"/>
    <w:rsid w:val="00781F92"/>
    <w:rsid w:val="00782037"/>
    <w:rsid w:val="00782101"/>
    <w:rsid w:val="00783F55"/>
    <w:rsid w:val="0078439F"/>
    <w:rsid w:val="00785209"/>
    <w:rsid w:val="00785DE2"/>
    <w:rsid w:val="00785FF7"/>
    <w:rsid w:val="007863C9"/>
    <w:rsid w:val="0078659C"/>
    <w:rsid w:val="00790494"/>
    <w:rsid w:val="00792306"/>
    <w:rsid w:val="00793C48"/>
    <w:rsid w:val="007A1DF3"/>
    <w:rsid w:val="007A3E6D"/>
    <w:rsid w:val="007A5BF1"/>
    <w:rsid w:val="007A5EFB"/>
    <w:rsid w:val="007B02C2"/>
    <w:rsid w:val="007B2541"/>
    <w:rsid w:val="007B458C"/>
    <w:rsid w:val="007B52D0"/>
    <w:rsid w:val="007B5AC7"/>
    <w:rsid w:val="007C116C"/>
    <w:rsid w:val="007C34D4"/>
    <w:rsid w:val="007C68B1"/>
    <w:rsid w:val="007C774C"/>
    <w:rsid w:val="007D0E0C"/>
    <w:rsid w:val="007D2BA5"/>
    <w:rsid w:val="007D491A"/>
    <w:rsid w:val="007D5C68"/>
    <w:rsid w:val="007D6AEF"/>
    <w:rsid w:val="007E0444"/>
    <w:rsid w:val="007E4890"/>
    <w:rsid w:val="007E5EF5"/>
    <w:rsid w:val="007E6042"/>
    <w:rsid w:val="007E7DAC"/>
    <w:rsid w:val="007F1777"/>
    <w:rsid w:val="007F4227"/>
    <w:rsid w:val="007F4FC0"/>
    <w:rsid w:val="007F6E69"/>
    <w:rsid w:val="007F759E"/>
    <w:rsid w:val="00800D43"/>
    <w:rsid w:val="00801229"/>
    <w:rsid w:val="008027B6"/>
    <w:rsid w:val="0080542F"/>
    <w:rsid w:val="00806DB3"/>
    <w:rsid w:val="0080734E"/>
    <w:rsid w:val="00813788"/>
    <w:rsid w:val="00814EE8"/>
    <w:rsid w:val="00816813"/>
    <w:rsid w:val="00821CD1"/>
    <w:rsid w:val="0082241A"/>
    <w:rsid w:val="0082281C"/>
    <w:rsid w:val="00822BE7"/>
    <w:rsid w:val="008238D8"/>
    <w:rsid w:val="008271A9"/>
    <w:rsid w:val="008328D7"/>
    <w:rsid w:val="00833E5E"/>
    <w:rsid w:val="00835A3E"/>
    <w:rsid w:val="00835E12"/>
    <w:rsid w:val="0083782D"/>
    <w:rsid w:val="00840C8E"/>
    <w:rsid w:val="00845191"/>
    <w:rsid w:val="00850841"/>
    <w:rsid w:val="0085106F"/>
    <w:rsid w:val="00851A08"/>
    <w:rsid w:val="00851D8F"/>
    <w:rsid w:val="008527B8"/>
    <w:rsid w:val="00852DFC"/>
    <w:rsid w:val="00854A81"/>
    <w:rsid w:val="008551B7"/>
    <w:rsid w:val="00862AE7"/>
    <w:rsid w:val="00863863"/>
    <w:rsid w:val="008648D8"/>
    <w:rsid w:val="00864BA2"/>
    <w:rsid w:val="00865DAC"/>
    <w:rsid w:val="00866B25"/>
    <w:rsid w:val="00870961"/>
    <w:rsid w:val="00871B49"/>
    <w:rsid w:val="0087546F"/>
    <w:rsid w:val="00877640"/>
    <w:rsid w:val="0088088E"/>
    <w:rsid w:val="00883520"/>
    <w:rsid w:val="00886536"/>
    <w:rsid w:val="0089176A"/>
    <w:rsid w:val="00892466"/>
    <w:rsid w:val="00892924"/>
    <w:rsid w:val="00892BAB"/>
    <w:rsid w:val="008936E0"/>
    <w:rsid w:val="008950CB"/>
    <w:rsid w:val="00897687"/>
    <w:rsid w:val="0089797E"/>
    <w:rsid w:val="00897B85"/>
    <w:rsid w:val="008A03A3"/>
    <w:rsid w:val="008A2805"/>
    <w:rsid w:val="008A29A8"/>
    <w:rsid w:val="008A5564"/>
    <w:rsid w:val="008A6100"/>
    <w:rsid w:val="008B05E6"/>
    <w:rsid w:val="008B0F3C"/>
    <w:rsid w:val="008B1588"/>
    <w:rsid w:val="008B1AE8"/>
    <w:rsid w:val="008B20AE"/>
    <w:rsid w:val="008B2CCE"/>
    <w:rsid w:val="008B51F6"/>
    <w:rsid w:val="008B58A0"/>
    <w:rsid w:val="008C249C"/>
    <w:rsid w:val="008C2C33"/>
    <w:rsid w:val="008C3108"/>
    <w:rsid w:val="008C3E97"/>
    <w:rsid w:val="008C5079"/>
    <w:rsid w:val="008D0FDD"/>
    <w:rsid w:val="008D1084"/>
    <w:rsid w:val="008D194C"/>
    <w:rsid w:val="008D3525"/>
    <w:rsid w:val="008D3E37"/>
    <w:rsid w:val="008D79DA"/>
    <w:rsid w:val="008E10C1"/>
    <w:rsid w:val="008E2733"/>
    <w:rsid w:val="008E41C4"/>
    <w:rsid w:val="008E5E84"/>
    <w:rsid w:val="008E6501"/>
    <w:rsid w:val="008E7EDC"/>
    <w:rsid w:val="008F0B3B"/>
    <w:rsid w:val="008F0FB1"/>
    <w:rsid w:val="008F2444"/>
    <w:rsid w:val="008F291C"/>
    <w:rsid w:val="008F3EDA"/>
    <w:rsid w:val="008F50DC"/>
    <w:rsid w:val="008F648E"/>
    <w:rsid w:val="008F77D1"/>
    <w:rsid w:val="008F7977"/>
    <w:rsid w:val="008F7AA6"/>
    <w:rsid w:val="008F7C5C"/>
    <w:rsid w:val="0090019F"/>
    <w:rsid w:val="00903E16"/>
    <w:rsid w:val="00905E08"/>
    <w:rsid w:val="00906EB7"/>
    <w:rsid w:val="009077F6"/>
    <w:rsid w:val="009078EC"/>
    <w:rsid w:val="00907B98"/>
    <w:rsid w:val="009104F9"/>
    <w:rsid w:val="00910EBC"/>
    <w:rsid w:val="00912819"/>
    <w:rsid w:val="00915970"/>
    <w:rsid w:val="0091740E"/>
    <w:rsid w:val="00917728"/>
    <w:rsid w:val="00920147"/>
    <w:rsid w:val="00920482"/>
    <w:rsid w:val="00920AE0"/>
    <w:rsid w:val="00920B81"/>
    <w:rsid w:val="00921017"/>
    <w:rsid w:val="0092251E"/>
    <w:rsid w:val="00922B2A"/>
    <w:rsid w:val="00925550"/>
    <w:rsid w:val="009256AA"/>
    <w:rsid w:val="00925C5C"/>
    <w:rsid w:val="00925F7F"/>
    <w:rsid w:val="00926FE6"/>
    <w:rsid w:val="0092739F"/>
    <w:rsid w:val="0093038F"/>
    <w:rsid w:val="00931334"/>
    <w:rsid w:val="00931DBB"/>
    <w:rsid w:val="009321AD"/>
    <w:rsid w:val="0093423E"/>
    <w:rsid w:val="00934F72"/>
    <w:rsid w:val="00935221"/>
    <w:rsid w:val="0093654B"/>
    <w:rsid w:val="0094158F"/>
    <w:rsid w:val="009435C9"/>
    <w:rsid w:val="00943E12"/>
    <w:rsid w:val="00944803"/>
    <w:rsid w:val="00947C2D"/>
    <w:rsid w:val="00947D62"/>
    <w:rsid w:val="00951328"/>
    <w:rsid w:val="00954DF1"/>
    <w:rsid w:val="0095579C"/>
    <w:rsid w:val="00956E93"/>
    <w:rsid w:val="00957549"/>
    <w:rsid w:val="00960E9F"/>
    <w:rsid w:val="009610E5"/>
    <w:rsid w:val="00961B1E"/>
    <w:rsid w:val="0096202B"/>
    <w:rsid w:val="009629BF"/>
    <w:rsid w:val="00971A3D"/>
    <w:rsid w:val="009748DF"/>
    <w:rsid w:val="00976BE0"/>
    <w:rsid w:val="00981397"/>
    <w:rsid w:val="00981565"/>
    <w:rsid w:val="00981967"/>
    <w:rsid w:val="00981DA2"/>
    <w:rsid w:val="00982A50"/>
    <w:rsid w:val="009845FB"/>
    <w:rsid w:val="00984CBF"/>
    <w:rsid w:val="00985084"/>
    <w:rsid w:val="00987E0E"/>
    <w:rsid w:val="00990DAA"/>
    <w:rsid w:val="009918A3"/>
    <w:rsid w:val="00994636"/>
    <w:rsid w:val="009969E2"/>
    <w:rsid w:val="00996C38"/>
    <w:rsid w:val="009A1A0B"/>
    <w:rsid w:val="009A2A14"/>
    <w:rsid w:val="009A3DFA"/>
    <w:rsid w:val="009A50F0"/>
    <w:rsid w:val="009A68F0"/>
    <w:rsid w:val="009B12D9"/>
    <w:rsid w:val="009B1301"/>
    <w:rsid w:val="009B2678"/>
    <w:rsid w:val="009B2F59"/>
    <w:rsid w:val="009B631F"/>
    <w:rsid w:val="009B6816"/>
    <w:rsid w:val="009B7E45"/>
    <w:rsid w:val="009B7F3B"/>
    <w:rsid w:val="009C078C"/>
    <w:rsid w:val="009C29AF"/>
    <w:rsid w:val="009C3E1D"/>
    <w:rsid w:val="009C3E7C"/>
    <w:rsid w:val="009D112F"/>
    <w:rsid w:val="009D2C2E"/>
    <w:rsid w:val="009D3E0D"/>
    <w:rsid w:val="009D413F"/>
    <w:rsid w:val="009D6713"/>
    <w:rsid w:val="009E2E57"/>
    <w:rsid w:val="009E2FC7"/>
    <w:rsid w:val="009E7C17"/>
    <w:rsid w:val="009F04F2"/>
    <w:rsid w:val="009F0E40"/>
    <w:rsid w:val="009F17BB"/>
    <w:rsid w:val="009F1C1C"/>
    <w:rsid w:val="009F38A6"/>
    <w:rsid w:val="009F4522"/>
    <w:rsid w:val="009F5FCA"/>
    <w:rsid w:val="009F77C1"/>
    <w:rsid w:val="009F7A3B"/>
    <w:rsid w:val="00A01D22"/>
    <w:rsid w:val="00A0261F"/>
    <w:rsid w:val="00A0287A"/>
    <w:rsid w:val="00A032D3"/>
    <w:rsid w:val="00A0441C"/>
    <w:rsid w:val="00A06AD8"/>
    <w:rsid w:val="00A07408"/>
    <w:rsid w:val="00A07953"/>
    <w:rsid w:val="00A1348A"/>
    <w:rsid w:val="00A136BF"/>
    <w:rsid w:val="00A1448D"/>
    <w:rsid w:val="00A14F0C"/>
    <w:rsid w:val="00A1751E"/>
    <w:rsid w:val="00A22840"/>
    <w:rsid w:val="00A2373F"/>
    <w:rsid w:val="00A24318"/>
    <w:rsid w:val="00A2555E"/>
    <w:rsid w:val="00A271C3"/>
    <w:rsid w:val="00A27FC1"/>
    <w:rsid w:val="00A31590"/>
    <w:rsid w:val="00A32290"/>
    <w:rsid w:val="00A32D56"/>
    <w:rsid w:val="00A334E6"/>
    <w:rsid w:val="00A334FF"/>
    <w:rsid w:val="00A33505"/>
    <w:rsid w:val="00A3422A"/>
    <w:rsid w:val="00A4048C"/>
    <w:rsid w:val="00A40E7E"/>
    <w:rsid w:val="00A42097"/>
    <w:rsid w:val="00A46C62"/>
    <w:rsid w:val="00A474DB"/>
    <w:rsid w:val="00A50C37"/>
    <w:rsid w:val="00A52E5F"/>
    <w:rsid w:val="00A572FE"/>
    <w:rsid w:val="00A57AA0"/>
    <w:rsid w:val="00A60CDF"/>
    <w:rsid w:val="00A62A9D"/>
    <w:rsid w:val="00A64058"/>
    <w:rsid w:val="00A64E29"/>
    <w:rsid w:val="00A659CF"/>
    <w:rsid w:val="00A664F1"/>
    <w:rsid w:val="00A66C8D"/>
    <w:rsid w:val="00A67D8E"/>
    <w:rsid w:val="00A700BB"/>
    <w:rsid w:val="00A70C75"/>
    <w:rsid w:val="00A71872"/>
    <w:rsid w:val="00A72882"/>
    <w:rsid w:val="00A73B76"/>
    <w:rsid w:val="00A73ED4"/>
    <w:rsid w:val="00A74575"/>
    <w:rsid w:val="00A7478D"/>
    <w:rsid w:val="00A75377"/>
    <w:rsid w:val="00A764E4"/>
    <w:rsid w:val="00A80CB9"/>
    <w:rsid w:val="00A8329E"/>
    <w:rsid w:val="00A845A4"/>
    <w:rsid w:val="00A86884"/>
    <w:rsid w:val="00A86E39"/>
    <w:rsid w:val="00A87A5C"/>
    <w:rsid w:val="00A87E11"/>
    <w:rsid w:val="00A91652"/>
    <w:rsid w:val="00A918ED"/>
    <w:rsid w:val="00A91F85"/>
    <w:rsid w:val="00A92362"/>
    <w:rsid w:val="00A95F42"/>
    <w:rsid w:val="00A96597"/>
    <w:rsid w:val="00A97B82"/>
    <w:rsid w:val="00A97CF8"/>
    <w:rsid w:val="00AA48EF"/>
    <w:rsid w:val="00AA4BD5"/>
    <w:rsid w:val="00AA5672"/>
    <w:rsid w:val="00AA7129"/>
    <w:rsid w:val="00AB0A28"/>
    <w:rsid w:val="00AB2D20"/>
    <w:rsid w:val="00AB3377"/>
    <w:rsid w:val="00AB344C"/>
    <w:rsid w:val="00AB5916"/>
    <w:rsid w:val="00AB7903"/>
    <w:rsid w:val="00AC5870"/>
    <w:rsid w:val="00AC5BC7"/>
    <w:rsid w:val="00AC748E"/>
    <w:rsid w:val="00AC7EB5"/>
    <w:rsid w:val="00AD26C5"/>
    <w:rsid w:val="00AD427B"/>
    <w:rsid w:val="00AD5AAA"/>
    <w:rsid w:val="00AD6C73"/>
    <w:rsid w:val="00AD7E43"/>
    <w:rsid w:val="00AE37E3"/>
    <w:rsid w:val="00AE3DA9"/>
    <w:rsid w:val="00AE6BA1"/>
    <w:rsid w:val="00AF1D4D"/>
    <w:rsid w:val="00AF23D3"/>
    <w:rsid w:val="00AF2B0D"/>
    <w:rsid w:val="00AF380C"/>
    <w:rsid w:val="00AF3976"/>
    <w:rsid w:val="00AF430B"/>
    <w:rsid w:val="00AF66C2"/>
    <w:rsid w:val="00AF7B49"/>
    <w:rsid w:val="00B002B0"/>
    <w:rsid w:val="00B02A75"/>
    <w:rsid w:val="00B0311F"/>
    <w:rsid w:val="00B03C0E"/>
    <w:rsid w:val="00B04090"/>
    <w:rsid w:val="00B0588E"/>
    <w:rsid w:val="00B058F5"/>
    <w:rsid w:val="00B10A00"/>
    <w:rsid w:val="00B11A34"/>
    <w:rsid w:val="00B11F64"/>
    <w:rsid w:val="00B123B3"/>
    <w:rsid w:val="00B13741"/>
    <w:rsid w:val="00B13B57"/>
    <w:rsid w:val="00B1421E"/>
    <w:rsid w:val="00B14AF2"/>
    <w:rsid w:val="00B14B7C"/>
    <w:rsid w:val="00B1542E"/>
    <w:rsid w:val="00B159F2"/>
    <w:rsid w:val="00B20889"/>
    <w:rsid w:val="00B214AC"/>
    <w:rsid w:val="00B224D7"/>
    <w:rsid w:val="00B22A13"/>
    <w:rsid w:val="00B26775"/>
    <w:rsid w:val="00B27A45"/>
    <w:rsid w:val="00B27F29"/>
    <w:rsid w:val="00B27FF2"/>
    <w:rsid w:val="00B3299F"/>
    <w:rsid w:val="00B379EC"/>
    <w:rsid w:val="00B412F5"/>
    <w:rsid w:val="00B41315"/>
    <w:rsid w:val="00B41E7E"/>
    <w:rsid w:val="00B42A65"/>
    <w:rsid w:val="00B43E7C"/>
    <w:rsid w:val="00B44AB3"/>
    <w:rsid w:val="00B452E2"/>
    <w:rsid w:val="00B46B79"/>
    <w:rsid w:val="00B50D21"/>
    <w:rsid w:val="00B5122B"/>
    <w:rsid w:val="00B51BEB"/>
    <w:rsid w:val="00B54E58"/>
    <w:rsid w:val="00B56328"/>
    <w:rsid w:val="00B604B9"/>
    <w:rsid w:val="00B61B69"/>
    <w:rsid w:val="00B62493"/>
    <w:rsid w:val="00B624A9"/>
    <w:rsid w:val="00B63F12"/>
    <w:rsid w:val="00B63F59"/>
    <w:rsid w:val="00B6668A"/>
    <w:rsid w:val="00B6747E"/>
    <w:rsid w:val="00B676B9"/>
    <w:rsid w:val="00B702C1"/>
    <w:rsid w:val="00B702ED"/>
    <w:rsid w:val="00B70530"/>
    <w:rsid w:val="00B71910"/>
    <w:rsid w:val="00B73509"/>
    <w:rsid w:val="00B73E5E"/>
    <w:rsid w:val="00B743D6"/>
    <w:rsid w:val="00B777A0"/>
    <w:rsid w:val="00B779BE"/>
    <w:rsid w:val="00B77ACF"/>
    <w:rsid w:val="00B805D5"/>
    <w:rsid w:val="00B80ABE"/>
    <w:rsid w:val="00B80FDA"/>
    <w:rsid w:val="00B81D21"/>
    <w:rsid w:val="00B8459A"/>
    <w:rsid w:val="00B84995"/>
    <w:rsid w:val="00B878EB"/>
    <w:rsid w:val="00B87B65"/>
    <w:rsid w:val="00B9123B"/>
    <w:rsid w:val="00B9479D"/>
    <w:rsid w:val="00B96E75"/>
    <w:rsid w:val="00BA0659"/>
    <w:rsid w:val="00BA0938"/>
    <w:rsid w:val="00BA3BF1"/>
    <w:rsid w:val="00BA3D3C"/>
    <w:rsid w:val="00BA403B"/>
    <w:rsid w:val="00BA4AC8"/>
    <w:rsid w:val="00BA59C7"/>
    <w:rsid w:val="00BA5DC8"/>
    <w:rsid w:val="00BA75AF"/>
    <w:rsid w:val="00BA7F18"/>
    <w:rsid w:val="00BB0B0E"/>
    <w:rsid w:val="00BB0CF3"/>
    <w:rsid w:val="00BB2D8D"/>
    <w:rsid w:val="00BB3255"/>
    <w:rsid w:val="00BB6D92"/>
    <w:rsid w:val="00BB77A1"/>
    <w:rsid w:val="00BC0296"/>
    <w:rsid w:val="00BC0D3B"/>
    <w:rsid w:val="00BC1662"/>
    <w:rsid w:val="00BC203E"/>
    <w:rsid w:val="00BC2213"/>
    <w:rsid w:val="00BC28BA"/>
    <w:rsid w:val="00BC689D"/>
    <w:rsid w:val="00BC7851"/>
    <w:rsid w:val="00BD15D2"/>
    <w:rsid w:val="00BD1A09"/>
    <w:rsid w:val="00BD2304"/>
    <w:rsid w:val="00BD323C"/>
    <w:rsid w:val="00BD3FE6"/>
    <w:rsid w:val="00BD4184"/>
    <w:rsid w:val="00BD45C7"/>
    <w:rsid w:val="00BD4A08"/>
    <w:rsid w:val="00BD7168"/>
    <w:rsid w:val="00BE05AE"/>
    <w:rsid w:val="00BE0773"/>
    <w:rsid w:val="00BE0B10"/>
    <w:rsid w:val="00BE0EF3"/>
    <w:rsid w:val="00BE174F"/>
    <w:rsid w:val="00BE1D7B"/>
    <w:rsid w:val="00BE26BE"/>
    <w:rsid w:val="00BE3BC1"/>
    <w:rsid w:val="00BE3CBE"/>
    <w:rsid w:val="00BE44D9"/>
    <w:rsid w:val="00BE44F5"/>
    <w:rsid w:val="00BE6042"/>
    <w:rsid w:val="00BE7635"/>
    <w:rsid w:val="00BE7C51"/>
    <w:rsid w:val="00BF27D5"/>
    <w:rsid w:val="00BF2DBE"/>
    <w:rsid w:val="00BF38F0"/>
    <w:rsid w:val="00BF3F60"/>
    <w:rsid w:val="00BF5A2A"/>
    <w:rsid w:val="00BF5C8C"/>
    <w:rsid w:val="00BF6CBB"/>
    <w:rsid w:val="00C00467"/>
    <w:rsid w:val="00C02CA4"/>
    <w:rsid w:val="00C037D7"/>
    <w:rsid w:val="00C052F9"/>
    <w:rsid w:val="00C06AC2"/>
    <w:rsid w:val="00C118CD"/>
    <w:rsid w:val="00C136F5"/>
    <w:rsid w:val="00C1625E"/>
    <w:rsid w:val="00C17C02"/>
    <w:rsid w:val="00C17EE6"/>
    <w:rsid w:val="00C209C6"/>
    <w:rsid w:val="00C20CDF"/>
    <w:rsid w:val="00C22D8A"/>
    <w:rsid w:val="00C24E5D"/>
    <w:rsid w:val="00C25499"/>
    <w:rsid w:val="00C26034"/>
    <w:rsid w:val="00C27B1A"/>
    <w:rsid w:val="00C31AF2"/>
    <w:rsid w:val="00C31B21"/>
    <w:rsid w:val="00C32CBA"/>
    <w:rsid w:val="00C3398C"/>
    <w:rsid w:val="00C34ED4"/>
    <w:rsid w:val="00C35BD4"/>
    <w:rsid w:val="00C35EE5"/>
    <w:rsid w:val="00C37FFA"/>
    <w:rsid w:val="00C411EB"/>
    <w:rsid w:val="00C42952"/>
    <w:rsid w:val="00C436B5"/>
    <w:rsid w:val="00C43DE7"/>
    <w:rsid w:val="00C448B3"/>
    <w:rsid w:val="00C53591"/>
    <w:rsid w:val="00C55AD6"/>
    <w:rsid w:val="00C5623E"/>
    <w:rsid w:val="00C6071C"/>
    <w:rsid w:val="00C60DA6"/>
    <w:rsid w:val="00C63CA4"/>
    <w:rsid w:val="00C646FF"/>
    <w:rsid w:val="00C65E05"/>
    <w:rsid w:val="00C67356"/>
    <w:rsid w:val="00C673AF"/>
    <w:rsid w:val="00C67B80"/>
    <w:rsid w:val="00C712F2"/>
    <w:rsid w:val="00C723E6"/>
    <w:rsid w:val="00C7297A"/>
    <w:rsid w:val="00C73AC9"/>
    <w:rsid w:val="00C73E8F"/>
    <w:rsid w:val="00C74742"/>
    <w:rsid w:val="00C75804"/>
    <w:rsid w:val="00C7687A"/>
    <w:rsid w:val="00C769C7"/>
    <w:rsid w:val="00C76BFE"/>
    <w:rsid w:val="00C7763F"/>
    <w:rsid w:val="00C8024A"/>
    <w:rsid w:val="00C802F5"/>
    <w:rsid w:val="00C81E02"/>
    <w:rsid w:val="00C83449"/>
    <w:rsid w:val="00C85174"/>
    <w:rsid w:val="00C87614"/>
    <w:rsid w:val="00C90787"/>
    <w:rsid w:val="00C9135A"/>
    <w:rsid w:val="00C932C3"/>
    <w:rsid w:val="00C94AE7"/>
    <w:rsid w:val="00C95131"/>
    <w:rsid w:val="00C96DF5"/>
    <w:rsid w:val="00CA085E"/>
    <w:rsid w:val="00CA2C4C"/>
    <w:rsid w:val="00CA3155"/>
    <w:rsid w:val="00CA378B"/>
    <w:rsid w:val="00CA37F5"/>
    <w:rsid w:val="00CA4824"/>
    <w:rsid w:val="00CA7124"/>
    <w:rsid w:val="00CB0A47"/>
    <w:rsid w:val="00CB17E4"/>
    <w:rsid w:val="00CB1971"/>
    <w:rsid w:val="00CB3960"/>
    <w:rsid w:val="00CB49E8"/>
    <w:rsid w:val="00CB4C29"/>
    <w:rsid w:val="00CB521F"/>
    <w:rsid w:val="00CB5911"/>
    <w:rsid w:val="00CB7D2A"/>
    <w:rsid w:val="00CB7E8A"/>
    <w:rsid w:val="00CC29DE"/>
    <w:rsid w:val="00CC35F4"/>
    <w:rsid w:val="00CC3993"/>
    <w:rsid w:val="00CD1366"/>
    <w:rsid w:val="00CD201F"/>
    <w:rsid w:val="00CD338D"/>
    <w:rsid w:val="00CD4713"/>
    <w:rsid w:val="00CD49BB"/>
    <w:rsid w:val="00CD5746"/>
    <w:rsid w:val="00CD707F"/>
    <w:rsid w:val="00CE1493"/>
    <w:rsid w:val="00CE3691"/>
    <w:rsid w:val="00CE552F"/>
    <w:rsid w:val="00CF0238"/>
    <w:rsid w:val="00CF1585"/>
    <w:rsid w:val="00CF1CDA"/>
    <w:rsid w:val="00CF2786"/>
    <w:rsid w:val="00CF32D4"/>
    <w:rsid w:val="00CF409F"/>
    <w:rsid w:val="00CF5E5C"/>
    <w:rsid w:val="00CF642F"/>
    <w:rsid w:val="00D0030C"/>
    <w:rsid w:val="00D006BC"/>
    <w:rsid w:val="00D03A0F"/>
    <w:rsid w:val="00D03EE2"/>
    <w:rsid w:val="00D105BD"/>
    <w:rsid w:val="00D116D0"/>
    <w:rsid w:val="00D1216F"/>
    <w:rsid w:val="00D13E4F"/>
    <w:rsid w:val="00D14D4C"/>
    <w:rsid w:val="00D154B4"/>
    <w:rsid w:val="00D17CF8"/>
    <w:rsid w:val="00D20570"/>
    <w:rsid w:val="00D206CE"/>
    <w:rsid w:val="00D20C00"/>
    <w:rsid w:val="00D2487E"/>
    <w:rsid w:val="00D24BAE"/>
    <w:rsid w:val="00D25012"/>
    <w:rsid w:val="00D258AC"/>
    <w:rsid w:val="00D26CAB"/>
    <w:rsid w:val="00D275AE"/>
    <w:rsid w:val="00D31562"/>
    <w:rsid w:val="00D342F7"/>
    <w:rsid w:val="00D35DEB"/>
    <w:rsid w:val="00D36ED6"/>
    <w:rsid w:val="00D4017B"/>
    <w:rsid w:val="00D40DAA"/>
    <w:rsid w:val="00D42BF7"/>
    <w:rsid w:val="00D46B15"/>
    <w:rsid w:val="00D5000D"/>
    <w:rsid w:val="00D515E4"/>
    <w:rsid w:val="00D51CA7"/>
    <w:rsid w:val="00D55EE7"/>
    <w:rsid w:val="00D613CA"/>
    <w:rsid w:val="00D61CC6"/>
    <w:rsid w:val="00D6267C"/>
    <w:rsid w:val="00D636DD"/>
    <w:rsid w:val="00D653DC"/>
    <w:rsid w:val="00D655B0"/>
    <w:rsid w:val="00D65FC6"/>
    <w:rsid w:val="00D67EF1"/>
    <w:rsid w:val="00D737FD"/>
    <w:rsid w:val="00D75332"/>
    <w:rsid w:val="00D75558"/>
    <w:rsid w:val="00D75B8C"/>
    <w:rsid w:val="00D75F9F"/>
    <w:rsid w:val="00D7618D"/>
    <w:rsid w:val="00D76410"/>
    <w:rsid w:val="00D76907"/>
    <w:rsid w:val="00D76964"/>
    <w:rsid w:val="00D77060"/>
    <w:rsid w:val="00D7782E"/>
    <w:rsid w:val="00D77AFA"/>
    <w:rsid w:val="00D77BAC"/>
    <w:rsid w:val="00D807CC"/>
    <w:rsid w:val="00D80832"/>
    <w:rsid w:val="00D811E8"/>
    <w:rsid w:val="00D81641"/>
    <w:rsid w:val="00D83CFE"/>
    <w:rsid w:val="00D84C50"/>
    <w:rsid w:val="00D8713E"/>
    <w:rsid w:val="00D9197F"/>
    <w:rsid w:val="00D92455"/>
    <w:rsid w:val="00D92AF1"/>
    <w:rsid w:val="00D92DF6"/>
    <w:rsid w:val="00D92F8C"/>
    <w:rsid w:val="00D95A1B"/>
    <w:rsid w:val="00D963CC"/>
    <w:rsid w:val="00D97514"/>
    <w:rsid w:val="00DA1C47"/>
    <w:rsid w:val="00DA275E"/>
    <w:rsid w:val="00DA3ADC"/>
    <w:rsid w:val="00DA4199"/>
    <w:rsid w:val="00DA733F"/>
    <w:rsid w:val="00DA7A58"/>
    <w:rsid w:val="00DB09BB"/>
    <w:rsid w:val="00DB0FF1"/>
    <w:rsid w:val="00DB1766"/>
    <w:rsid w:val="00DB179F"/>
    <w:rsid w:val="00DB2C8D"/>
    <w:rsid w:val="00DB3AB1"/>
    <w:rsid w:val="00DB3F08"/>
    <w:rsid w:val="00DB3F4D"/>
    <w:rsid w:val="00DB4DC8"/>
    <w:rsid w:val="00DB79B7"/>
    <w:rsid w:val="00DC1FF7"/>
    <w:rsid w:val="00DC214A"/>
    <w:rsid w:val="00DC309C"/>
    <w:rsid w:val="00DC310C"/>
    <w:rsid w:val="00DC4970"/>
    <w:rsid w:val="00DC5020"/>
    <w:rsid w:val="00DD21AC"/>
    <w:rsid w:val="00DD36BF"/>
    <w:rsid w:val="00DD39DC"/>
    <w:rsid w:val="00DD59BD"/>
    <w:rsid w:val="00DD5B06"/>
    <w:rsid w:val="00DD6D64"/>
    <w:rsid w:val="00DD72F4"/>
    <w:rsid w:val="00DD7A1C"/>
    <w:rsid w:val="00DD7A84"/>
    <w:rsid w:val="00DD7EC4"/>
    <w:rsid w:val="00DE0097"/>
    <w:rsid w:val="00DE3600"/>
    <w:rsid w:val="00DE3B9C"/>
    <w:rsid w:val="00DE5186"/>
    <w:rsid w:val="00DE5213"/>
    <w:rsid w:val="00DE5B89"/>
    <w:rsid w:val="00DE5D33"/>
    <w:rsid w:val="00DE7000"/>
    <w:rsid w:val="00DF1594"/>
    <w:rsid w:val="00DF1ABB"/>
    <w:rsid w:val="00DF2A30"/>
    <w:rsid w:val="00DF2FFA"/>
    <w:rsid w:val="00DF3122"/>
    <w:rsid w:val="00DF3A60"/>
    <w:rsid w:val="00DF6463"/>
    <w:rsid w:val="00E000FF"/>
    <w:rsid w:val="00E014DF"/>
    <w:rsid w:val="00E01504"/>
    <w:rsid w:val="00E0199D"/>
    <w:rsid w:val="00E01D21"/>
    <w:rsid w:val="00E0487E"/>
    <w:rsid w:val="00E0544E"/>
    <w:rsid w:val="00E115F8"/>
    <w:rsid w:val="00E1228C"/>
    <w:rsid w:val="00E122ED"/>
    <w:rsid w:val="00E1249E"/>
    <w:rsid w:val="00E1329C"/>
    <w:rsid w:val="00E1721D"/>
    <w:rsid w:val="00E17984"/>
    <w:rsid w:val="00E200C1"/>
    <w:rsid w:val="00E247EE"/>
    <w:rsid w:val="00E24CB3"/>
    <w:rsid w:val="00E252A5"/>
    <w:rsid w:val="00E26351"/>
    <w:rsid w:val="00E27912"/>
    <w:rsid w:val="00E30E43"/>
    <w:rsid w:val="00E3195B"/>
    <w:rsid w:val="00E31DA5"/>
    <w:rsid w:val="00E33094"/>
    <w:rsid w:val="00E33612"/>
    <w:rsid w:val="00E33F0C"/>
    <w:rsid w:val="00E346BD"/>
    <w:rsid w:val="00E34F74"/>
    <w:rsid w:val="00E368A1"/>
    <w:rsid w:val="00E37294"/>
    <w:rsid w:val="00E42D2B"/>
    <w:rsid w:val="00E42DE4"/>
    <w:rsid w:val="00E47A37"/>
    <w:rsid w:val="00E51E6C"/>
    <w:rsid w:val="00E541EE"/>
    <w:rsid w:val="00E55013"/>
    <w:rsid w:val="00E61DA1"/>
    <w:rsid w:val="00E62BB6"/>
    <w:rsid w:val="00E62EBE"/>
    <w:rsid w:val="00E648E9"/>
    <w:rsid w:val="00E65BC1"/>
    <w:rsid w:val="00E668D1"/>
    <w:rsid w:val="00E67BA3"/>
    <w:rsid w:val="00E71065"/>
    <w:rsid w:val="00E723CC"/>
    <w:rsid w:val="00E72B80"/>
    <w:rsid w:val="00E72D60"/>
    <w:rsid w:val="00E73D30"/>
    <w:rsid w:val="00E744B6"/>
    <w:rsid w:val="00E83BB8"/>
    <w:rsid w:val="00E83D21"/>
    <w:rsid w:val="00E83FBF"/>
    <w:rsid w:val="00E8615D"/>
    <w:rsid w:val="00E8739C"/>
    <w:rsid w:val="00E8773B"/>
    <w:rsid w:val="00E92CCC"/>
    <w:rsid w:val="00E944B0"/>
    <w:rsid w:val="00E9612F"/>
    <w:rsid w:val="00E967D8"/>
    <w:rsid w:val="00E9792E"/>
    <w:rsid w:val="00E97BBE"/>
    <w:rsid w:val="00EA026B"/>
    <w:rsid w:val="00EA102E"/>
    <w:rsid w:val="00EA39FC"/>
    <w:rsid w:val="00EA4E0E"/>
    <w:rsid w:val="00EA66FE"/>
    <w:rsid w:val="00EA6CC4"/>
    <w:rsid w:val="00EA6CC9"/>
    <w:rsid w:val="00EB04FD"/>
    <w:rsid w:val="00EB2D26"/>
    <w:rsid w:val="00EB3557"/>
    <w:rsid w:val="00EB4D79"/>
    <w:rsid w:val="00EB540D"/>
    <w:rsid w:val="00EC14F7"/>
    <w:rsid w:val="00EC280C"/>
    <w:rsid w:val="00EC45D3"/>
    <w:rsid w:val="00EC4DC0"/>
    <w:rsid w:val="00EC6801"/>
    <w:rsid w:val="00ED1791"/>
    <w:rsid w:val="00ED2E4D"/>
    <w:rsid w:val="00ED34C5"/>
    <w:rsid w:val="00EE04C6"/>
    <w:rsid w:val="00EE12CE"/>
    <w:rsid w:val="00EE4ACA"/>
    <w:rsid w:val="00EE4E8A"/>
    <w:rsid w:val="00EE57A4"/>
    <w:rsid w:val="00EE7D75"/>
    <w:rsid w:val="00EF119B"/>
    <w:rsid w:val="00EF35CC"/>
    <w:rsid w:val="00EF3B68"/>
    <w:rsid w:val="00EF3E88"/>
    <w:rsid w:val="00EF4479"/>
    <w:rsid w:val="00EF5DAE"/>
    <w:rsid w:val="00F029DA"/>
    <w:rsid w:val="00F03E1C"/>
    <w:rsid w:val="00F060FE"/>
    <w:rsid w:val="00F077A7"/>
    <w:rsid w:val="00F07FE5"/>
    <w:rsid w:val="00F1017A"/>
    <w:rsid w:val="00F10E8F"/>
    <w:rsid w:val="00F14D1F"/>
    <w:rsid w:val="00F1610D"/>
    <w:rsid w:val="00F22081"/>
    <w:rsid w:val="00F220F9"/>
    <w:rsid w:val="00F240E4"/>
    <w:rsid w:val="00F25054"/>
    <w:rsid w:val="00F25DD4"/>
    <w:rsid w:val="00F27BD4"/>
    <w:rsid w:val="00F3110E"/>
    <w:rsid w:val="00F314C3"/>
    <w:rsid w:val="00F34480"/>
    <w:rsid w:val="00F35BDD"/>
    <w:rsid w:val="00F35FCE"/>
    <w:rsid w:val="00F3673F"/>
    <w:rsid w:val="00F36BC8"/>
    <w:rsid w:val="00F3713F"/>
    <w:rsid w:val="00F40A90"/>
    <w:rsid w:val="00F41A90"/>
    <w:rsid w:val="00F42FF0"/>
    <w:rsid w:val="00F43CAE"/>
    <w:rsid w:val="00F45B08"/>
    <w:rsid w:val="00F4650B"/>
    <w:rsid w:val="00F46E00"/>
    <w:rsid w:val="00F479A9"/>
    <w:rsid w:val="00F50566"/>
    <w:rsid w:val="00F5076D"/>
    <w:rsid w:val="00F51D3B"/>
    <w:rsid w:val="00F5293B"/>
    <w:rsid w:val="00F53711"/>
    <w:rsid w:val="00F5463F"/>
    <w:rsid w:val="00F547CB"/>
    <w:rsid w:val="00F556CD"/>
    <w:rsid w:val="00F56F14"/>
    <w:rsid w:val="00F60ED4"/>
    <w:rsid w:val="00F63C29"/>
    <w:rsid w:val="00F65584"/>
    <w:rsid w:val="00F6773C"/>
    <w:rsid w:val="00F71276"/>
    <w:rsid w:val="00F71684"/>
    <w:rsid w:val="00F71728"/>
    <w:rsid w:val="00F72F6D"/>
    <w:rsid w:val="00F74270"/>
    <w:rsid w:val="00F752D6"/>
    <w:rsid w:val="00F80A5D"/>
    <w:rsid w:val="00F80D21"/>
    <w:rsid w:val="00F82A39"/>
    <w:rsid w:val="00F83CCB"/>
    <w:rsid w:val="00F83EB2"/>
    <w:rsid w:val="00F84414"/>
    <w:rsid w:val="00F84DA7"/>
    <w:rsid w:val="00F8551B"/>
    <w:rsid w:val="00F8635D"/>
    <w:rsid w:val="00F86A84"/>
    <w:rsid w:val="00F902F6"/>
    <w:rsid w:val="00F906BC"/>
    <w:rsid w:val="00F90BDD"/>
    <w:rsid w:val="00F91F55"/>
    <w:rsid w:val="00F93CA7"/>
    <w:rsid w:val="00F95AB6"/>
    <w:rsid w:val="00F96F22"/>
    <w:rsid w:val="00F972AE"/>
    <w:rsid w:val="00FA1B63"/>
    <w:rsid w:val="00FA2D6B"/>
    <w:rsid w:val="00FA55B8"/>
    <w:rsid w:val="00FA6C44"/>
    <w:rsid w:val="00FB1F41"/>
    <w:rsid w:val="00FB2586"/>
    <w:rsid w:val="00FB3DD3"/>
    <w:rsid w:val="00FB59B1"/>
    <w:rsid w:val="00FB6115"/>
    <w:rsid w:val="00FC1D51"/>
    <w:rsid w:val="00FC427F"/>
    <w:rsid w:val="00FC5570"/>
    <w:rsid w:val="00FC5589"/>
    <w:rsid w:val="00FD4373"/>
    <w:rsid w:val="00FD48B4"/>
    <w:rsid w:val="00FD48C9"/>
    <w:rsid w:val="00FD51E1"/>
    <w:rsid w:val="00FD7F79"/>
    <w:rsid w:val="00FE04D6"/>
    <w:rsid w:val="00FE1D92"/>
    <w:rsid w:val="00FE2027"/>
    <w:rsid w:val="00FE2271"/>
    <w:rsid w:val="00FE47B3"/>
    <w:rsid w:val="00FE669D"/>
    <w:rsid w:val="00FF0BAE"/>
    <w:rsid w:val="00FF0C8E"/>
    <w:rsid w:val="00FF1433"/>
    <w:rsid w:val="00FF19FD"/>
    <w:rsid w:val="00FF27E7"/>
    <w:rsid w:val="00FF41D8"/>
    <w:rsid w:val="00FF6C7F"/>
    <w:rsid w:val="00FF7372"/>
    <w:rsid w:val="013C3CC9"/>
    <w:rsid w:val="020221E6"/>
    <w:rsid w:val="020C041D"/>
    <w:rsid w:val="02134517"/>
    <w:rsid w:val="023C4837"/>
    <w:rsid w:val="037968D3"/>
    <w:rsid w:val="03AD0948"/>
    <w:rsid w:val="0404012E"/>
    <w:rsid w:val="04490FA6"/>
    <w:rsid w:val="048D3746"/>
    <w:rsid w:val="053B1E09"/>
    <w:rsid w:val="055E71A0"/>
    <w:rsid w:val="0593615D"/>
    <w:rsid w:val="078B5101"/>
    <w:rsid w:val="07BD74BF"/>
    <w:rsid w:val="07DC0946"/>
    <w:rsid w:val="08881BFA"/>
    <w:rsid w:val="098F01FA"/>
    <w:rsid w:val="09F6599C"/>
    <w:rsid w:val="09F74EB0"/>
    <w:rsid w:val="0ABA28CB"/>
    <w:rsid w:val="0BDC3D36"/>
    <w:rsid w:val="0C5E6EB6"/>
    <w:rsid w:val="0CB277D2"/>
    <w:rsid w:val="0CCC6B2A"/>
    <w:rsid w:val="0CFB19DF"/>
    <w:rsid w:val="0D381F5F"/>
    <w:rsid w:val="0D9B0F97"/>
    <w:rsid w:val="0E8C778E"/>
    <w:rsid w:val="0E924520"/>
    <w:rsid w:val="0EC93142"/>
    <w:rsid w:val="10DC693D"/>
    <w:rsid w:val="110871E3"/>
    <w:rsid w:val="11386996"/>
    <w:rsid w:val="113D6162"/>
    <w:rsid w:val="119D7714"/>
    <w:rsid w:val="122C3C75"/>
    <w:rsid w:val="12FA4532"/>
    <w:rsid w:val="13484D0E"/>
    <w:rsid w:val="13541DEF"/>
    <w:rsid w:val="1464477F"/>
    <w:rsid w:val="15010DDF"/>
    <w:rsid w:val="15A14CA9"/>
    <w:rsid w:val="15AB08AE"/>
    <w:rsid w:val="16170991"/>
    <w:rsid w:val="16714F74"/>
    <w:rsid w:val="179C7EC6"/>
    <w:rsid w:val="194D0085"/>
    <w:rsid w:val="19DD0F1B"/>
    <w:rsid w:val="1A226821"/>
    <w:rsid w:val="1A852B4F"/>
    <w:rsid w:val="1A8E2407"/>
    <w:rsid w:val="1C5A769C"/>
    <w:rsid w:val="1D52414E"/>
    <w:rsid w:val="1DA47EC3"/>
    <w:rsid w:val="1DAD086F"/>
    <w:rsid w:val="1E19238C"/>
    <w:rsid w:val="1E1D0EA4"/>
    <w:rsid w:val="1F59598E"/>
    <w:rsid w:val="1F9660EC"/>
    <w:rsid w:val="1FC23803"/>
    <w:rsid w:val="212F2382"/>
    <w:rsid w:val="21312411"/>
    <w:rsid w:val="21462100"/>
    <w:rsid w:val="21B91B41"/>
    <w:rsid w:val="22901C98"/>
    <w:rsid w:val="232516CF"/>
    <w:rsid w:val="232A287D"/>
    <w:rsid w:val="241F1A62"/>
    <w:rsid w:val="24350492"/>
    <w:rsid w:val="24483245"/>
    <w:rsid w:val="24675325"/>
    <w:rsid w:val="24F743B8"/>
    <w:rsid w:val="25750264"/>
    <w:rsid w:val="259D4D78"/>
    <w:rsid w:val="25BA56E4"/>
    <w:rsid w:val="25FE7D1D"/>
    <w:rsid w:val="27381A8E"/>
    <w:rsid w:val="273C5146"/>
    <w:rsid w:val="285A177E"/>
    <w:rsid w:val="28CF7818"/>
    <w:rsid w:val="28D50CB7"/>
    <w:rsid w:val="297E51BF"/>
    <w:rsid w:val="29AE1C3C"/>
    <w:rsid w:val="29D77490"/>
    <w:rsid w:val="29E356E4"/>
    <w:rsid w:val="2A5B2539"/>
    <w:rsid w:val="2B27408F"/>
    <w:rsid w:val="2BAD3AF9"/>
    <w:rsid w:val="2BFD5B09"/>
    <w:rsid w:val="2C131A79"/>
    <w:rsid w:val="2C6A0BFD"/>
    <w:rsid w:val="2D212C61"/>
    <w:rsid w:val="2DA27EF2"/>
    <w:rsid w:val="2DFD0291"/>
    <w:rsid w:val="2E6D2827"/>
    <w:rsid w:val="2EB51463"/>
    <w:rsid w:val="2F105E54"/>
    <w:rsid w:val="2F3E73E3"/>
    <w:rsid w:val="2FF0097D"/>
    <w:rsid w:val="302617F2"/>
    <w:rsid w:val="30632D05"/>
    <w:rsid w:val="30D32D66"/>
    <w:rsid w:val="3244467F"/>
    <w:rsid w:val="32CA0E5A"/>
    <w:rsid w:val="34513AB3"/>
    <w:rsid w:val="350D54A4"/>
    <w:rsid w:val="3667399C"/>
    <w:rsid w:val="367C0F2E"/>
    <w:rsid w:val="36A14E98"/>
    <w:rsid w:val="36D30654"/>
    <w:rsid w:val="36F520F7"/>
    <w:rsid w:val="372938E7"/>
    <w:rsid w:val="3778018D"/>
    <w:rsid w:val="38FD4702"/>
    <w:rsid w:val="393369F3"/>
    <w:rsid w:val="398F56E3"/>
    <w:rsid w:val="39BF6596"/>
    <w:rsid w:val="39C038FC"/>
    <w:rsid w:val="3A57288D"/>
    <w:rsid w:val="3AC754AE"/>
    <w:rsid w:val="3ADF2004"/>
    <w:rsid w:val="3B223D91"/>
    <w:rsid w:val="3B3462B2"/>
    <w:rsid w:val="3B4A1307"/>
    <w:rsid w:val="3BAC526E"/>
    <w:rsid w:val="3C905B90"/>
    <w:rsid w:val="3CD51F07"/>
    <w:rsid w:val="3CDA725A"/>
    <w:rsid w:val="3D4B1EB2"/>
    <w:rsid w:val="3DE261EE"/>
    <w:rsid w:val="3E1E4661"/>
    <w:rsid w:val="3E6243D3"/>
    <w:rsid w:val="3F0231D8"/>
    <w:rsid w:val="3F205161"/>
    <w:rsid w:val="3FF32F03"/>
    <w:rsid w:val="40E063D6"/>
    <w:rsid w:val="426A1C69"/>
    <w:rsid w:val="42A44B59"/>
    <w:rsid w:val="4305613B"/>
    <w:rsid w:val="43637AC8"/>
    <w:rsid w:val="43C648AD"/>
    <w:rsid w:val="43FD23D5"/>
    <w:rsid w:val="44040A48"/>
    <w:rsid w:val="440573B1"/>
    <w:rsid w:val="440D60FB"/>
    <w:rsid w:val="441B5D54"/>
    <w:rsid w:val="4550062D"/>
    <w:rsid w:val="456740F4"/>
    <w:rsid w:val="457E582F"/>
    <w:rsid w:val="463567AF"/>
    <w:rsid w:val="466949FC"/>
    <w:rsid w:val="466D493C"/>
    <w:rsid w:val="466E2AB6"/>
    <w:rsid w:val="46B95D2D"/>
    <w:rsid w:val="46F104EC"/>
    <w:rsid w:val="472470EE"/>
    <w:rsid w:val="473C5BFC"/>
    <w:rsid w:val="477046F8"/>
    <w:rsid w:val="48047EE4"/>
    <w:rsid w:val="48A5485B"/>
    <w:rsid w:val="49590122"/>
    <w:rsid w:val="497B7A43"/>
    <w:rsid w:val="49C63BE7"/>
    <w:rsid w:val="4A7E1275"/>
    <w:rsid w:val="4AF4637C"/>
    <w:rsid w:val="4B345768"/>
    <w:rsid w:val="4B6E5C05"/>
    <w:rsid w:val="4BBA56DD"/>
    <w:rsid w:val="4C5941EA"/>
    <w:rsid w:val="4C9B2D8C"/>
    <w:rsid w:val="4CD27971"/>
    <w:rsid w:val="4E047DA7"/>
    <w:rsid w:val="4E325073"/>
    <w:rsid w:val="4EAB239F"/>
    <w:rsid w:val="4EE31013"/>
    <w:rsid w:val="4F10440E"/>
    <w:rsid w:val="4F51091A"/>
    <w:rsid w:val="50AE2825"/>
    <w:rsid w:val="50D47E63"/>
    <w:rsid w:val="511B4A65"/>
    <w:rsid w:val="52866F4F"/>
    <w:rsid w:val="529A64F9"/>
    <w:rsid w:val="52CD0FF2"/>
    <w:rsid w:val="541F3BF2"/>
    <w:rsid w:val="54434EC2"/>
    <w:rsid w:val="54C868D7"/>
    <w:rsid w:val="553E4A98"/>
    <w:rsid w:val="55654619"/>
    <w:rsid w:val="55E71ED2"/>
    <w:rsid w:val="57064605"/>
    <w:rsid w:val="57765D0D"/>
    <w:rsid w:val="58D61EEA"/>
    <w:rsid w:val="597554B5"/>
    <w:rsid w:val="5A7374FC"/>
    <w:rsid w:val="5AB82FE6"/>
    <w:rsid w:val="5AEF7FB9"/>
    <w:rsid w:val="5B4F4DFA"/>
    <w:rsid w:val="5B607506"/>
    <w:rsid w:val="5B687E94"/>
    <w:rsid w:val="5C1C1E7A"/>
    <w:rsid w:val="5C6F1405"/>
    <w:rsid w:val="5CC50975"/>
    <w:rsid w:val="5CCC6581"/>
    <w:rsid w:val="5D4E0DF2"/>
    <w:rsid w:val="5DC636D4"/>
    <w:rsid w:val="5DEA65E3"/>
    <w:rsid w:val="5E1B1188"/>
    <w:rsid w:val="5E7B7135"/>
    <w:rsid w:val="5E7D1CF4"/>
    <w:rsid w:val="5F3429C8"/>
    <w:rsid w:val="5F386D00"/>
    <w:rsid w:val="601E6228"/>
    <w:rsid w:val="60873A2C"/>
    <w:rsid w:val="610F1010"/>
    <w:rsid w:val="6140553F"/>
    <w:rsid w:val="61DA1105"/>
    <w:rsid w:val="6373489E"/>
    <w:rsid w:val="637B6A8F"/>
    <w:rsid w:val="63DC0496"/>
    <w:rsid w:val="643569B2"/>
    <w:rsid w:val="644E514E"/>
    <w:rsid w:val="64A7124C"/>
    <w:rsid w:val="64C13ED5"/>
    <w:rsid w:val="64C64642"/>
    <w:rsid w:val="657D1F4B"/>
    <w:rsid w:val="65B340C7"/>
    <w:rsid w:val="683D3452"/>
    <w:rsid w:val="685F3445"/>
    <w:rsid w:val="69655D07"/>
    <w:rsid w:val="69DD4E0E"/>
    <w:rsid w:val="69E33DE4"/>
    <w:rsid w:val="6A402C2E"/>
    <w:rsid w:val="6B91008D"/>
    <w:rsid w:val="6D48685B"/>
    <w:rsid w:val="6D4D166E"/>
    <w:rsid w:val="6DD94047"/>
    <w:rsid w:val="6EC13FAA"/>
    <w:rsid w:val="6ED35D10"/>
    <w:rsid w:val="6F6B03C5"/>
    <w:rsid w:val="6FCE04D4"/>
    <w:rsid w:val="704043B3"/>
    <w:rsid w:val="706E5EC9"/>
    <w:rsid w:val="70746FC8"/>
    <w:rsid w:val="70F800FC"/>
    <w:rsid w:val="710246BC"/>
    <w:rsid w:val="71AA7D41"/>
    <w:rsid w:val="72652011"/>
    <w:rsid w:val="737077C7"/>
    <w:rsid w:val="740372BB"/>
    <w:rsid w:val="74040753"/>
    <w:rsid w:val="743E5935"/>
    <w:rsid w:val="746C2E87"/>
    <w:rsid w:val="75927044"/>
    <w:rsid w:val="76451C36"/>
    <w:rsid w:val="7652223E"/>
    <w:rsid w:val="77631C14"/>
    <w:rsid w:val="77F70128"/>
    <w:rsid w:val="78037172"/>
    <w:rsid w:val="7815163E"/>
    <w:rsid w:val="79D10638"/>
    <w:rsid w:val="7A30463F"/>
    <w:rsid w:val="7A6327EB"/>
    <w:rsid w:val="7A7C247A"/>
    <w:rsid w:val="7AF45B3C"/>
    <w:rsid w:val="7B122DBA"/>
    <w:rsid w:val="7B7559DF"/>
    <w:rsid w:val="7BD25B26"/>
    <w:rsid w:val="7C166CDD"/>
    <w:rsid w:val="7C1E2DEC"/>
    <w:rsid w:val="7C5940BB"/>
    <w:rsid w:val="7CDB4363"/>
    <w:rsid w:val="7D4E30AC"/>
    <w:rsid w:val="7DBB40E6"/>
    <w:rsid w:val="7DD92DB2"/>
    <w:rsid w:val="7E393BAD"/>
    <w:rsid w:val="7F8A09BC"/>
    <w:rsid w:val="7F8E2E1E"/>
    <w:rsid w:val="7FB52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 id="V:Rule2" type="connector" idref="#_x0000_s2052"/>
        <o:r id="V:Rule3" type="connector" idref="#_x0000_s2053"/>
        <o:r id="V:Rule4" type="connector" idref="#_x0000_s2054"/>
        <o:r id="V:Rule5" type="connector" idref="#_x0000_s2055"/>
        <o:r id="V:Rule6" type="connector" idref="#_x0000_s2056"/>
        <o:r id="V:Rule7" type="connector" idref="#_x0000_s2057"/>
        <o:r id="V:Rule8" type="connector" idref="#_x0000_s2058"/>
        <o:r id="V:Rule9" type="connector" idref="#_x0000_s2063"/>
        <o:r id="V:Rule10" type="connector" idref="#_x0000_s2064"/>
        <o:r id="V:Rule11" type="connector" idref="#_x0000_s2065"/>
        <o:r id="V:Rule12" type="connector" idref="#_x0000_s2066"/>
        <o:r id="V:Rule13" type="connector" idref="#_x0000_s2067"/>
        <o:r id="V:Rule14" type="connector" idref="#_x0000_s2068"/>
        <o:r id="V:Rule15" type="connector" idref="#_x0000_s2069"/>
        <o:r id="V:Rule16" type="connector" idref="#_x0000_s2072"/>
        <o:r id="V:Rule17" type="connector" idref="#_x0000_s2074"/>
        <o:r id="V:Rule18" type="connector" idref="#_x0000_s2076"/>
        <o:r id="V:Rule19" type="connector" idref="#_x0000_s2078"/>
        <o:r id="V:Rule20" type="connector" idref="#_x0000_s2082"/>
        <o:r id="V:Rule21" type="connector" idref="#_x0000_s2083"/>
        <o:r id="V:Rule22" type="connector" idref="#_x0000_s2086"/>
        <o:r id="V:Rule23" type="connector" idref="#_x0000_s2087">
          <o:proxy end="" idref="#_x0000_s2088" connectloc="0"/>
        </o:r>
        <o:r id="V:Rule24" type="connector" idref="#_x0000_s208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5"/>
    <w:semiHidden/>
    <w:unhideWhenUsed/>
    <w:qFormat/>
    <w:uiPriority w:val="99"/>
    <w:pPr>
      <w:spacing w:after="120"/>
    </w:p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link w:val="46"/>
    <w:qFormat/>
    <w:uiPriority w:val="0"/>
    <w:pPr>
      <w:widowControl/>
      <w:tabs>
        <w:tab w:val="left" w:pos="2880"/>
      </w:tabs>
      <w:adjustRightInd w:val="0"/>
      <w:snapToGrid w:val="0"/>
      <w:spacing w:line="360" w:lineRule="auto"/>
      <w:ind w:firstLine="420" w:firstLineChars="200"/>
    </w:pPr>
    <w:rPr>
      <w:rFonts w:asciiTheme="minorHAnsi" w:hAnsiTheme="minorHAnsi" w:eastAsiaTheme="minorEastAsia" w:cstheme="minorBidi"/>
      <w:sz w:val="24"/>
      <w:szCs w:val="22"/>
    </w:rPr>
  </w:style>
  <w:style w:type="paragraph" w:styleId="9">
    <w:name w:val="caption"/>
    <w:basedOn w:val="1"/>
    <w:next w:val="1"/>
    <w:qFormat/>
    <w:uiPriority w:val="0"/>
    <w:pPr>
      <w:tabs>
        <w:tab w:val="left" w:pos="1257"/>
      </w:tabs>
      <w:spacing w:before="152" w:after="160"/>
      <w:jc w:val="center"/>
    </w:pPr>
    <w:rPr>
      <w:rFonts w:ascii="Arial" w:hAnsi="Arial" w:eastAsia="黑体"/>
      <w:szCs w:val="21"/>
    </w:rPr>
  </w:style>
  <w:style w:type="paragraph" w:styleId="10">
    <w:name w:val="Body Text Indent"/>
    <w:basedOn w:val="1"/>
    <w:unhideWhenUsed/>
    <w:qFormat/>
    <w:uiPriority w:val="99"/>
    <w:pPr>
      <w:spacing w:after="120"/>
      <w:ind w:left="420" w:leftChars="200"/>
    </w:p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rPr>
      <w:rFonts w:asciiTheme="minorHAnsi" w:hAnsiTheme="minorHAnsi" w:eastAsiaTheme="minorEastAsia" w:cstheme="minorBidi"/>
      <w:szCs w:val="22"/>
    </w:rPr>
  </w:style>
  <w:style w:type="paragraph" w:styleId="1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4">
    <w:name w:val="Balloon Text"/>
    <w:basedOn w:val="1"/>
    <w:link w:val="35"/>
    <w:semiHidden/>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9">
    <w:name w:val="List"/>
    <w:basedOn w:val="1"/>
    <w:qFormat/>
    <w:uiPriority w:val="0"/>
    <w:pPr>
      <w:autoSpaceDE w:val="0"/>
      <w:autoSpaceDN w:val="0"/>
      <w:adjustRightInd w:val="0"/>
      <w:spacing w:line="240" w:lineRule="auto"/>
      <w:jc w:val="center"/>
      <w:textAlignment w:val="baseline"/>
    </w:pPr>
    <w:rPr>
      <w:kern w:val="0"/>
      <w:sz w:val="21"/>
      <w:szCs w:val="20"/>
    </w:rPr>
  </w:style>
  <w:style w:type="paragraph" w:styleId="20">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1">
    <w:name w:val="Body Text Indent 3"/>
    <w:basedOn w:val="1"/>
    <w:qFormat/>
    <w:uiPriority w:val="99"/>
    <w:pPr>
      <w:spacing w:after="120"/>
      <w:ind w:left="420" w:leftChars="200"/>
    </w:pPr>
    <w:rPr>
      <w:sz w:val="16"/>
      <w:szCs w:val="16"/>
    </w:rPr>
  </w:style>
  <w:style w:type="paragraph" w:styleId="22">
    <w:name w:val="toc 2"/>
    <w:basedOn w:val="1"/>
    <w:next w:val="1"/>
    <w:unhideWhenUsed/>
    <w:qFormat/>
    <w:uiPriority w:val="39"/>
    <w:pPr>
      <w:tabs>
        <w:tab w:val="right" w:leader="dot" w:pos="9736"/>
      </w:tabs>
      <w:spacing w:line="360" w:lineRule="auto"/>
      <w:ind w:left="420" w:leftChars="200"/>
    </w:pPr>
    <w:rPr>
      <w:rFonts w:asciiTheme="minorHAnsi" w:hAnsiTheme="minorHAnsi" w:eastAsiaTheme="minorEastAsia" w:cstheme="minorBidi"/>
      <w:szCs w:val="22"/>
    </w:rPr>
  </w:style>
  <w:style w:type="paragraph" w:styleId="23">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4">
    <w:name w:val="Normal (Web)"/>
    <w:basedOn w:val="1"/>
    <w:qFormat/>
    <w:uiPriority w:val="0"/>
  </w:style>
  <w:style w:type="paragraph" w:styleId="25">
    <w:name w:val="Body Text First Indent"/>
    <w:basedOn w:val="2"/>
    <w:qFormat/>
    <w:uiPriority w:val="0"/>
    <w:pPr>
      <w:ind w:firstLine="420" w:firstLineChars="100"/>
    </w:pPr>
    <w:rPr>
      <w:szCs w:val="20"/>
    </w:r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Hyperlink"/>
    <w:basedOn w:val="28"/>
    <w:unhideWhenUsed/>
    <w:qFormat/>
    <w:uiPriority w:val="99"/>
    <w:rPr>
      <w:color w:val="0000FF" w:themeColor="hyperlink"/>
      <w:u w:val="single"/>
    </w:rPr>
  </w:style>
  <w:style w:type="paragraph" w:customStyle="1" w:styleId="30">
    <w:name w:val="样式 正文11 + 首行缩进:  2 字符"/>
    <w:basedOn w:val="1"/>
    <w:qFormat/>
    <w:uiPriority w:val="99"/>
    <w:pPr>
      <w:spacing w:line="500" w:lineRule="exact"/>
      <w:ind w:firstLine="560" w:firstLineChars="200"/>
    </w:pPr>
    <w:rPr>
      <w:rFonts w:ascii="宋体" w:hAnsi="宋体" w:cs="宋体"/>
      <w:color w:val="FF0000"/>
      <w:sz w:val="28"/>
      <w:szCs w:val="28"/>
    </w:rPr>
  </w:style>
  <w:style w:type="character" w:customStyle="1" w:styleId="31">
    <w:name w:val="页眉 字符"/>
    <w:basedOn w:val="28"/>
    <w:link w:val="16"/>
    <w:qFormat/>
    <w:uiPriority w:val="99"/>
    <w:rPr>
      <w:sz w:val="18"/>
      <w:szCs w:val="18"/>
    </w:rPr>
  </w:style>
  <w:style w:type="character" w:customStyle="1" w:styleId="32">
    <w:name w:val="页脚 字符"/>
    <w:basedOn w:val="28"/>
    <w:link w:val="15"/>
    <w:qFormat/>
    <w:uiPriority w:val="99"/>
    <w:rPr>
      <w:sz w:val="18"/>
      <w:szCs w:val="18"/>
    </w:rPr>
  </w:style>
  <w:style w:type="character" w:customStyle="1" w:styleId="33">
    <w:name w:val="标题 1 字符"/>
    <w:basedOn w:val="28"/>
    <w:link w:val="3"/>
    <w:qFormat/>
    <w:uiPriority w:val="9"/>
    <w:rPr>
      <w:rFonts w:ascii="Times New Roman" w:hAnsi="Times New Roman" w:eastAsia="宋体" w:cs="Times New Roman"/>
      <w:b/>
      <w:bCs/>
      <w:kern w:val="44"/>
      <w:sz w:val="44"/>
      <w:szCs w:val="44"/>
    </w:r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字符"/>
    <w:basedOn w:val="28"/>
    <w:link w:val="14"/>
    <w:semiHidden/>
    <w:qFormat/>
    <w:uiPriority w:val="99"/>
    <w:rPr>
      <w:rFonts w:ascii="Times New Roman" w:hAnsi="Times New Roman" w:eastAsia="宋体" w:cs="Times New Roman"/>
      <w:sz w:val="18"/>
      <w:szCs w:val="18"/>
    </w:rPr>
  </w:style>
  <w:style w:type="character" w:customStyle="1" w:styleId="36">
    <w:name w:val="标题 2 字符"/>
    <w:basedOn w:val="28"/>
    <w:link w:val="4"/>
    <w:qFormat/>
    <w:uiPriority w:val="9"/>
    <w:rPr>
      <w:rFonts w:asciiTheme="majorHAnsi" w:hAnsiTheme="majorHAnsi" w:eastAsiaTheme="majorEastAsia" w:cstheme="majorBidi"/>
      <w:b/>
      <w:bCs/>
      <w:sz w:val="32"/>
      <w:szCs w:val="32"/>
    </w:rPr>
  </w:style>
  <w:style w:type="character" w:customStyle="1" w:styleId="37">
    <w:name w:val="标题 3 字符"/>
    <w:basedOn w:val="28"/>
    <w:link w:val="5"/>
    <w:qFormat/>
    <w:uiPriority w:val="9"/>
    <w:rPr>
      <w:rFonts w:ascii="Times New Roman" w:hAnsi="Times New Roman" w:eastAsia="宋体" w:cs="Times New Roman"/>
      <w:b/>
      <w:bCs/>
      <w:sz w:val="32"/>
      <w:szCs w:val="32"/>
    </w:rPr>
  </w:style>
  <w:style w:type="character" w:customStyle="1" w:styleId="38">
    <w:name w:val="标题 4 字符"/>
    <w:basedOn w:val="28"/>
    <w:link w:val="6"/>
    <w:qFormat/>
    <w:uiPriority w:val="9"/>
    <w:rPr>
      <w:rFonts w:asciiTheme="majorHAnsi" w:hAnsiTheme="majorHAnsi" w:eastAsiaTheme="majorEastAsia" w:cstheme="majorBidi"/>
      <w:b/>
      <w:bCs/>
      <w:sz w:val="28"/>
      <w:szCs w:val="28"/>
    </w:rPr>
  </w:style>
  <w:style w:type="paragraph" w:styleId="39">
    <w:name w:val="No Spacing"/>
    <w:link w:val="40"/>
    <w:qFormat/>
    <w:uiPriority w:val="1"/>
    <w:rPr>
      <w:rFonts w:asciiTheme="minorHAnsi" w:hAnsiTheme="minorHAnsi" w:eastAsiaTheme="minorEastAsia" w:cstheme="minorBidi"/>
      <w:kern w:val="0"/>
      <w:sz w:val="22"/>
      <w:szCs w:val="22"/>
      <w:lang w:val="en-US" w:eastAsia="zh-CN" w:bidi="ar-SA"/>
    </w:rPr>
  </w:style>
  <w:style w:type="character" w:customStyle="1" w:styleId="40">
    <w:name w:val="无间隔 字符"/>
    <w:basedOn w:val="28"/>
    <w:link w:val="39"/>
    <w:qFormat/>
    <w:uiPriority w:val="1"/>
    <w:rPr>
      <w:kern w:val="0"/>
      <w:sz w:val="22"/>
    </w:rPr>
  </w:style>
  <w:style w:type="character" w:customStyle="1" w:styleId="41">
    <w:name w:val="表格标题 Char"/>
    <w:basedOn w:val="28"/>
    <w:link w:val="42"/>
    <w:qFormat/>
    <w:uiPriority w:val="0"/>
    <w:rPr>
      <w:rFonts w:ascii="宋体" w:hAnsi="宋体"/>
      <w:sz w:val="24"/>
      <w:szCs w:val="24"/>
    </w:rPr>
  </w:style>
  <w:style w:type="paragraph" w:customStyle="1" w:styleId="42">
    <w:name w:val="表格标题"/>
    <w:basedOn w:val="1"/>
    <w:link w:val="41"/>
    <w:qFormat/>
    <w:uiPriority w:val="0"/>
    <w:pPr>
      <w:spacing w:beforeLines="50"/>
      <w:jc w:val="center"/>
    </w:pPr>
    <w:rPr>
      <w:rFonts w:ascii="宋体" w:hAnsi="宋体" w:eastAsiaTheme="minorEastAsia" w:cstheme="minorBidi"/>
      <w:sz w:val="24"/>
    </w:rPr>
  </w:style>
  <w:style w:type="character" w:customStyle="1" w:styleId="43">
    <w:name w:val="表格内容 Char"/>
    <w:basedOn w:val="28"/>
    <w:link w:val="44"/>
    <w:qFormat/>
    <w:uiPriority w:val="0"/>
    <w:rPr>
      <w:rFonts w:ascii="宋体" w:hAnsi="Arial"/>
      <w:sz w:val="24"/>
      <w:szCs w:val="21"/>
    </w:rPr>
  </w:style>
  <w:style w:type="paragraph" w:customStyle="1" w:styleId="44">
    <w:name w:val="表格内容"/>
    <w:basedOn w:val="2"/>
    <w:link w:val="43"/>
    <w:qFormat/>
    <w:uiPriority w:val="0"/>
    <w:pPr>
      <w:tabs>
        <w:tab w:val="left" w:pos="1257"/>
      </w:tabs>
      <w:spacing w:after="0"/>
      <w:jc w:val="center"/>
    </w:pPr>
    <w:rPr>
      <w:rFonts w:ascii="宋体" w:hAnsi="Arial" w:eastAsiaTheme="minorEastAsia" w:cstheme="minorBidi"/>
      <w:sz w:val="24"/>
      <w:szCs w:val="21"/>
    </w:rPr>
  </w:style>
  <w:style w:type="character" w:customStyle="1" w:styleId="45">
    <w:name w:val="正文文本 字符"/>
    <w:basedOn w:val="28"/>
    <w:link w:val="2"/>
    <w:semiHidden/>
    <w:qFormat/>
    <w:uiPriority w:val="99"/>
    <w:rPr>
      <w:rFonts w:ascii="Times New Roman" w:hAnsi="Times New Roman" w:eastAsia="宋体" w:cs="Times New Roman"/>
      <w:szCs w:val="24"/>
    </w:rPr>
  </w:style>
  <w:style w:type="character" w:customStyle="1" w:styleId="46">
    <w:name w:val="正文缩进 字符"/>
    <w:basedOn w:val="28"/>
    <w:link w:val="8"/>
    <w:qFormat/>
    <w:uiPriority w:val="0"/>
    <w:rPr>
      <w:sz w:val="24"/>
    </w:rPr>
  </w:style>
  <w:style w:type="paragraph" w:customStyle="1" w:styleId="47">
    <w:name w:val="表格表题"/>
    <w:basedOn w:val="1"/>
    <w:link w:val="48"/>
    <w:qFormat/>
    <w:uiPriority w:val="0"/>
    <w:pPr>
      <w:widowControl/>
      <w:spacing w:beforeLines="50"/>
      <w:ind w:firstLine="2488" w:firstLineChars="885"/>
      <w:jc w:val="left"/>
    </w:pPr>
    <w:rPr>
      <w:rFonts w:ascii="宋体" w:hAnsi="宋体"/>
      <w:b/>
      <w:kern w:val="0"/>
      <w:sz w:val="28"/>
    </w:rPr>
  </w:style>
  <w:style w:type="character" w:customStyle="1" w:styleId="48">
    <w:name w:val="表格表题 Char"/>
    <w:basedOn w:val="28"/>
    <w:link w:val="47"/>
    <w:qFormat/>
    <w:uiPriority w:val="0"/>
    <w:rPr>
      <w:rFonts w:ascii="宋体" w:hAnsi="宋体" w:eastAsia="宋体" w:cs="Times New Roman"/>
      <w:b/>
      <w:kern w:val="0"/>
      <w:sz w:val="28"/>
      <w:szCs w:val="24"/>
    </w:rPr>
  </w:style>
  <w:style w:type="paragraph" w:customStyle="1" w:styleId="49">
    <w:name w:val="样式 样式 正文缩进 + 首行缩进:  2 字符 + 左侧:  -0.36 字符"/>
    <w:basedOn w:val="1"/>
    <w:qFormat/>
    <w:uiPriority w:val="0"/>
    <w:pPr>
      <w:widowControl/>
      <w:tabs>
        <w:tab w:val="left" w:pos="539"/>
        <w:tab w:val="left" w:pos="1257"/>
        <w:tab w:val="left" w:pos="6162"/>
      </w:tabs>
      <w:autoSpaceDE w:val="0"/>
      <w:autoSpaceDN w:val="0"/>
      <w:adjustRightInd w:val="0"/>
      <w:spacing w:line="360" w:lineRule="auto"/>
      <w:ind w:left="-86" w:leftChars="-36" w:firstLine="480" w:firstLineChars="200"/>
      <w:jc w:val="left"/>
    </w:pPr>
    <w:rPr>
      <w:rFonts w:ascii="宋体" w:hAnsi="宋体" w:cs="宋体"/>
      <w:bCs/>
      <w:color w:val="000000"/>
      <w:sz w:val="24"/>
      <w:szCs w:val="20"/>
      <w:lang w:val="zh-CN"/>
    </w:rPr>
  </w:style>
  <w:style w:type="paragraph" w:styleId="50">
    <w:name w:val="List Paragraph"/>
    <w:basedOn w:val="1"/>
    <w:qFormat/>
    <w:uiPriority w:val="34"/>
    <w:pPr>
      <w:ind w:firstLine="420" w:firstLineChars="200"/>
    </w:pPr>
  </w:style>
  <w:style w:type="paragraph" w:customStyle="1" w:styleId="51">
    <w:name w:val="样式 正文缩进 + 首行缩进:  2 字符"/>
    <w:basedOn w:val="8"/>
    <w:link w:val="52"/>
    <w:qFormat/>
    <w:uiPriority w:val="0"/>
    <w:pPr>
      <w:widowControl w:val="0"/>
      <w:tabs>
        <w:tab w:val="left" w:pos="539"/>
        <w:tab w:val="left" w:pos="1257"/>
        <w:tab w:val="clear" w:pos="2880"/>
      </w:tabs>
      <w:adjustRightInd/>
      <w:snapToGrid/>
      <w:ind w:firstLine="480"/>
      <w:jc w:val="left"/>
    </w:pPr>
    <w:rPr>
      <w:rFonts w:ascii="Times New Roman" w:hAnsi="Times New Roman" w:eastAsia="宋体" w:cs="Times New Roman"/>
      <w:color w:val="000000"/>
      <w:szCs w:val="24"/>
    </w:rPr>
  </w:style>
  <w:style w:type="character" w:customStyle="1" w:styleId="52">
    <w:name w:val="样式 正文缩进 + 首行缩进:  2 字符 Char"/>
    <w:link w:val="51"/>
    <w:qFormat/>
    <w:locked/>
    <w:uiPriority w:val="0"/>
    <w:rPr>
      <w:rFonts w:ascii="Times New Roman" w:hAnsi="Times New Roman" w:eastAsia="宋体" w:cs="Times New Roman"/>
      <w:color w:val="000000"/>
      <w:sz w:val="24"/>
      <w:szCs w:val="24"/>
    </w:rPr>
  </w:style>
  <w:style w:type="paragraph" w:customStyle="1" w:styleId="53">
    <w:name w:val="框图（五号）"/>
    <w:basedOn w:val="1"/>
    <w:link w:val="54"/>
    <w:qFormat/>
    <w:uiPriority w:val="0"/>
    <w:pPr>
      <w:spacing w:line="240" w:lineRule="exact"/>
      <w:jc w:val="center"/>
    </w:pPr>
  </w:style>
  <w:style w:type="character" w:customStyle="1" w:styleId="54">
    <w:name w:val="框图（五号） Char"/>
    <w:link w:val="53"/>
    <w:qFormat/>
    <w:uiPriority w:val="0"/>
    <w:rPr>
      <w:rFonts w:ascii="Times New Roman" w:hAnsi="Times New Roman" w:eastAsia="宋体" w:cs="Times New Roman"/>
      <w:szCs w:val="24"/>
    </w:rPr>
  </w:style>
  <w:style w:type="paragraph" w:customStyle="1" w:styleId="55">
    <w:name w:val="报告表正文样式1"/>
    <w:basedOn w:val="1"/>
    <w:link w:val="56"/>
    <w:qFormat/>
    <w:uiPriority w:val="0"/>
    <w:pPr>
      <w:spacing w:line="360" w:lineRule="auto"/>
      <w:ind w:firstLine="480" w:firstLineChars="200"/>
    </w:pPr>
    <w:rPr>
      <w:rFonts w:cs="宋体"/>
      <w:sz w:val="24"/>
      <w:szCs w:val="20"/>
    </w:rPr>
  </w:style>
  <w:style w:type="character" w:customStyle="1" w:styleId="56">
    <w:name w:val="报告表正文样式1 Char"/>
    <w:link w:val="55"/>
    <w:qFormat/>
    <w:uiPriority w:val="0"/>
    <w:rPr>
      <w:rFonts w:ascii="Times New Roman" w:hAnsi="Times New Roman" w:eastAsia="宋体" w:cs="宋体"/>
      <w:sz w:val="24"/>
      <w:szCs w:val="20"/>
    </w:rPr>
  </w:style>
  <w:style w:type="paragraph" w:customStyle="1" w:styleId="57">
    <w:name w:val="样式 正文缩进正文（首行缩进两字） Char Char Char Char Char Char Char图号正文（首行缩进..."/>
    <w:basedOn w:val="8"/>
    <w:link w:val="58"/>
    <w:qFormat/>
    <w:uiPriority w:val="0"/>
    <w:pPr>
      <w:widowControl w:val="0"/>
      <w:tabs>
        <w:tab w:val="left" w:pos="539"/>
        <w:tab w:val="left" w:pos="1257"/>
        <w:tab w:val="clear" w:pos="2880"/>
      </w:tabs>
      <w:adjustRightInd/>
      <w:snapToGrid/>
      <w:ind w:firstLine="480"/>
      <w:jc w:val="left"/>
    </w:pPr>
    <w:rPr>
      <w:rFonts w:ascii="Times New Roman" w:hAnsi="Times New Roman" w:eastAsia="宋体" w:cs="宋体"/>
      <w:color w:val="000000"/>
      <w:szCs w:val="20"/>
    </w:rPr>
  </w:style>
  <w:style w:type="character" w:customStyle="1" w:styleId="58">
    <w:name w:val="样式 正文缩进正文（首行缩进两字） Char Char Char Char Char Char Char图号正文（首行缩进... Char"/>
    <w:link w:val="57"/>
    <w:qFormat/>
    <w:uiPriority w:val="0"/>
    <w:rPr>
      <w:rFonts w:ascii="Times New Roman" w:hAnsi="Times New Roman" w:eastAsia="宋体" w:cs="宋体"/>
      <w:color w:val="000000"/>
      <w:sz w:val="24"/>
      <w:szCs w:val="20"/>
    </w:rPr>
  </w:style>
  <w:style w:type="paragraph" w:customStyle="1" w:styleId="59">
    <w:name w:val="_Style 52"/>
    <w:basedOn w:val="1"/>
    <w:next w:val="50"/>
    <w:qFormat/>
    <w:uiPriority w:val="0"/>
    <w:pPr>
      <w:ind w:firstLine="420" w:firstLineChars="200"/>
    </w:pPr>
    <w:rPr>
      <w:szCs w:val="20"/>
    </w:rPr>
  </w:style>
  <w:style w:type="paragraph" w:customStyle="1" w:styleId="60">
    <w:name w:val="Table Paragraph"/>
    <w:basedOn w:val="1"/>
    <w:qFormat/>
    <w:uiPriority w:val="1"/>
  </w:style>
  <w:style w:type="paragraph" w:customStyle="1" w:styleId="61">
    <w:name w:val="样式 首行缩进:  2 字符"/>
    <w:basedOn w:val="1"/>
    <w:link w:val="62"/>
    <w:qFormat/>
    <w:uiPriority w:val="0"/>
    <w:pPr>
      <w:tabs>
        <w:tab w:val="left" w:pos="1257"/>
      </w:tabs>
      <w:spacing w:line="360" w:lineRule="auto"/>
      <w:ind w:firstLine="480" w:firstLineChars="200"/>
    </w:pPr>
    <w:rPr>
      <w:sz w:val="24"/>
      <w:szCs w:val="20"/>
      <w:lang w:val="zh-CN" w:eastAsia="zh-CN"/>
    </w:rPr>
  </w:style>
  <w:style w:type="character" w:customStyle="1" w:styleId="62">
    <w:name w:val="样式 首行缩进:  2 字符 Char"/>
    <w:link w:val="61"/>
    <w:qFormat/>
    <w:uiPriority w:val="0"/>
    <w:rPr>
      <w:rFonts w:ascii="Times New Roman" w:hAnsi="Times New Roman" w:eastAsia="宋体" w:cs="Times New Roman"/>
      <w:sz w:val="24"/>
      <w:szCs w:val="20"/>
      <w:lang w:val="zh-CN" w:eastAsia="zh-CN"/>
    </w:rPr>
  </w:style>
  <w:style w:type="paragraph" w:customStyle="1" w:styleId="63">
    <w:name w:val="表标"/>
    <w:next w:val="1"/>
    <w:qFormat/>
    <w:uiPriority w:val="0"/>
    <w:pPr>
      <w:widowControl w:val="0"/>
      <w:tabs>
        <w:tab w:val="left" w:pos="280"/>
      </w:tabs>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64">
    <w:name w:val="正文内容（环科院）"/>
    <w:basedOn w:val="1"/>
    <w:qFormat/>
    <w:uiPriority w:val="0"/>
    <w:pPr>
      <w:spacing w:line="360" w:lineRule="auto"/>
      <w:ind w:firstLine="200" w:firstLineChars="200"/>
    </w:pPr>
    <w:rPr>
      <w:rFonts w:ascii="Times New Roman" w:hAnsi="Times New Roman" w:eastAsia="宋体" w:cs="宋体"/>
      <w:szCs w:val="20"/>
    </w:rPr>
  </w:style>
  <w:style w:type="paragraph" w:customStyle="1" w:styleId="65">
    <w:name w:val="报告书正文"/>
    <w:basedOn w:val="1"/>
    <w:next w:val="1"/>
    <w:qFormat/>
    <w:uiPriority w:val="0"/>
    <w:pPr>
      <w:spacing w:line="360" w:lineRule="auto"/>
      <w:ind w:firstLine="200" w:firstLineChars="200"/>
    </w:pPr>
    <w:rPr>
      <w:rFonts w:cs="宋体"/>
      <w:sz w:val="24"/>
      <w:szCs w:val="22"/>
    </w:rPr>
  </w:style>
  <w:style w:type="paragraph" w:customStyle="1" w:styleId="66">
    <w:name w:val="表格"/>
    <w:basedOn w:val="1"/>
    <w:next w:val="1"/>
    <w:qFormat/>
    <w:uiPriority w:val="0"/>
    <w:pPr>
      <w:adjustRightInd w:val="0"/>
      <w:snapToGrid w:val="0"/>
      <w:jc w:val="center"/>
    </w:pPr>
    <w:rPr>
      <w:rFonts w:ascii="Calibri" w:hAnsi="Calibri"/>
      <w:sz w:val="24"/>
      <w:szCs w:val="21"/>
    </w:rPr>
  </w:style>
  <w:style w:type="paragraph" w:customStyle="1" w:styleId="67">
    <w:name w:val="Default"/>
    <w:qFormat/>
    <w:uiPriority w:val="99"/>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68">
    <w:name w:val="环评正文"/>
    <w:basedOn w:val="1"/>
    <w:link w:val="76"/>
    <w:qFormat/>
    <w:uiPriority w:val="0"/>
    <w:pPr>
      <w:ind w:firstLine="200" w:firstLineChars="200"/>
      <w:jc w:val="left"/>
    </w:pPr>
  </w:style>
  <w:style w:type="paragraph" w:customStyle="1" w:styleId="69">
    <w:name w:val="正文文本1"/>
    <w:basedOn w:val="1"/>
    <w:qFormat/>
    <w:uiPriority w:val="99"/>
    <w:pPr>
      <w:spacing w:line="500" w:lineRule="exact"/>
    </w:pPr>
    <w:rPr>
      <w:rFonts w:ascii="宋体" w:hAnsi="宋体"/>
      <w:sz w:val="28"/>
    </w:rPr>
  </w:style>
  <w:style w:type="paragraph" w:customStyle="1" w:styleId="70">
    <w:name w:val="内容"/>
    <w:basedOn w:val="1"/>
    <w:qFormat/>
    <w:uiPriority w:val="0"/>
    <w:pPr>
      <w:spacing w:line="360" w:lineRule="auto"/>
      <w:ind w:firstLine="454"/>
    </w:pPr>
    <w:rPr>
      <w:sz w:val="24"/>
    </w:rPr>
  </w:style>
  <w:style w:type="paragraph" w:customStyle="1" w:styleId="71">
    <w:name w:val="表格文字"/>
    <w:basedOn w:val="1"/>
    <w:qFormat/>
    <w:uiPriority w:val="0"/>
    <w:pPr>
      <w:jc w:val="center"/>
    </w:pPr>
  </w:style>
  <w:style w:type="paragraph" w:customStyle="1" w:styleId="72">
    <w:name w:val="Char1"/>
    <w:basedOn w:val="1"/>
    <w:qFormat/>
    <w:uiPriority w:val="0"/>
    <w:rPr>
      <w:sz w:val="24"/>
      <w:szCs w:val="24"/>
    </w:rPr>
  </w:style>
  <w:style w:type="paragraph" w:customStyle="1" w:styleId="73">
    <w:name w:val="z环评正文"/>
    <w:basedOn w:val="1"/>
    <w:qFormat/>
    <w:uiPriority w:val="0"/>
    <w:pPr>
      <w:spacing w:line="360" w:lineRule="auto"/>
      <w:ind w:firstLine="200" w:firstLineChars="200"/>
    </w:pPr>
    <w:rPr>
      <w:sz w:val="24"/>
    </w:rPr>
  </w:style>
  <w:style w:type="character" w:customStyle="1" w:styleId="74">
    <w:name w:val="环评正文 Char Char"/>
    <w:basedOn w:val="28"/>
    <w:link w:val="68"/>
    <w:qFormat/>
    <w:uiPriority w:val="0"/>
  </w:style>
  <w:style w:type="paragraph" w:customStyle="1" w:styleId="75">
    <w:name w:val="环评正文2"/>
    <w:basedOn w:val="1"/>
    <w:qFormat/>
    <w:uiPriority w:val="0"/>
    <w:pPr>
      <w:ind w:firstLine="1680" w:firstLineChars="200"/>
    </w:pPr>
    <w:rPr>
      <w:sz w:val="24"/>
    </w:rPr>
  </w:style>
  <w:style w:type="character" w:customStyle="1" w:styleId="76">
    <w:name w:val="环评正文 Char"/>
    <w:link w:val="68"/>
    <w:qFormat/>
    <w:uiPriority w:val="0"/>
    <w:rPr>
      <w:sz w:val="24"/>
    </w:rPr>
  </w:style>
  <w:style w:type="paragraph" w:customStyle="1" w:styleId="77">
    <w:name w:val="报告正文"/>
    <w:basedOn w:val="1"/>
    <w:next w:val="1"/>
    <w:qFormat/>
    <w:uiPriority w:val="0"/>
    <w:pPr>
      <w:adjustRightInd w:val="0"/>
      <w:snapToGrid w:val="0"/>
      <w:spacing w:line="480" w:lineRule="exact"/>
      <w:ind w:firstLine="20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116"/>
    <customShpInfo spid="_x0000_s2091"/>
    <customShpInfo spid="_x0000_s2092"/>
    <customShpInfo spid="_x0000_s21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8D66D-9383-4A88-94DA-3D4B9D1A020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2126</Words>
  <Characters>12124</Characters>
  <Lines>101</Lines>
  <Paragraphs>28</Paragraphs>
  <TotalTime>2</TotalTime>
  <ScaleCrop>false</ScaleCrop>
  <LinksUpToDate>false</LinksUpToDate>
  <CharactersWithSpaces>14222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2018-11-16T07:54:00Z</dcterms:created>
  <dc:creator>微软用户</dc:creator>
  <cp:lastModifiedBy>Administrator</cp:lastModifiedBy>
  <cp:lastPrinted>2019-05-10T02:30:00Z</cp:lastPrinted>
  <dcterms:modified xsi:type="dcterms:W3CDTF">2021-04-25T07:15:30Z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0E4AC9DE7F334C32BD8E457D3BDB447B</vt:lpwstr>
  </property>
</Properties>
</file>