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643"/>
        <w:jc w:val="right"/>
        <w:rPr>
          <w:rFonts w:hint="eastAsia" w:ascii="Times New Roman" w:hAnsi="Times New Roman" w:eastAsia="楷体_GB2312" w:cs="Times New Roman"/>
          <w:b/>
          <w:color w:val="auto"/>
          <w:sz w:val="32"/>
          <w:szCs w:val="28"/>
          <w:lang w:eastAsia="zh-CN"/>
        </w:rPr>
      </w:pPr>
      <w:bookmarkStart w:id="0" w:name="_Hlk66089720"/>
      <w:r>
        <w:rPr>
          <w:rFonts w:ascii="Times New Roman" w:hAnsi="Times New Roman" w:eastAsia="楷体_GB2312" w:cs="Times New Roman"/>
          <w:b/>
          <w:color w:val="auto"/>
          <w:sz w:val="32"/>
          <w:szCs w:val="28"/>
        </w:rPr>
        <w:sym w:font="Wingdings 2" w:char="0052"/>
      </w:r>
      <w:r>
        <w:rPr>
          <w:rFonts w:hint="eastAsia" w:ascii="Times New Roman" w:hAnsi="Times New Roman" w:eastAsia="楷体_GB2312" w:cs="Times New Roman"/>
          <w:b/>
          <w:color w:val="auto"/>
          <w:sz w:val="32"/>
          <w:szCs w:val="28"/>
          <w:lang w:val="en-US" w:eastAsia="zh-CN"/>
        </w:rPr>
        <w:t>书面评审类</w:t>
      </w:r>
    </w:p>
    <w:p>
      <w:pPr>
        <w:spacing w:line="400" w:lineRule="exact"/>
        <w:ind w:firstLine="643"/>
        <w:jc w:val="right"/>
        <w:rPr>
          <w:rFonts w:hint="default" w:ascii="Times New Roman" w:hAnsi="Times New Roman" w:eastAsia="楷体_GB2312" w:cs="Times New Roman"/>
          <w:bCs/>
          <w:color w:val="auto"/>
          <w:szCs w:val="32"/>
          <w:lang w:val="en-US" w:eastAsia="zh-CN"/>
        </w:rPr>
      </w:pPr>
      <w:r>
        <w:rPr>
          <w:rFonts w:hint="eastAsia" w:ascii="Segoe UI Symbol" w:hAnsi="Segoe UI Symbol" w:eastAsia="楷体_GB2312" w:cs="Times New Roman"/>
          <w:b/>
          <w:color w:val="auto"/>
          <w:sz w:val="32"/>
          <w:szCs w:val="28"/>
          <w:lang w:eastAsia="zh-CN"/>
        </w:rPr>
        <w:t>□</w:t>
      </w:r>
      <w:r>
        <w:rPr>
          <w:rFonts w:hint="eastAsia" w:ascii="Times New Roman" w:hAnsi="Times New Roman" w:eastAsia="楷体_GB2312" w:cs="Times New Roman"/>
          <w:b/>
          <w:color w:val="auto"/>
          <w:sz w:val="32"/>
          <w:szCs w:val="28"/>
          <w:lang w:val="en-US" w:eastAsia="zh-CN"/>
        </w:rPr>
        <w:t>竞争答辩类</w:t>
      </w:r>
    </w:p>
    <w:p>
      <w:pPr>
        <w:pageBreakBefore w:val="0"/>
        <w:kinsoku/>
        <w:wordWrap/>
        <w:overflowPunct/>
        <w:topLinePunct w:val="0"/>
        <w:bidi w:val="0"/>
        <w:snapToGrid w:val="0"/>
        <w:spacing w:line="360" w:lineRule="auto"/>
        <w:jc w:val="center"/>
        <w:rPr>
          <w:rFonts w:hint="eastAsia" w:ascii="华文中宋" w:hAnsi="华文中宋" w:eastAsia="华文中宋"/>
          <w:b/>
          <w:bCs/>
          <w:color w:val="auto"/>
          <w:sz w:val="52"/>
          <w:szCs w:val="52"/>
        </w:rPr>
      </w:pPr>
    </w:p>
    <w:p>
      <w:pPr>
        <w:pageBreakBefore w:val="0"/>
        <w:kinsoku/>
        <w:wordWrap/>
        <w:overflowPunct/>
        <w:topLinePunct w:val="0"/>
        <w:bidi w:val="0"/>
        <w:snapToGrid w:val="0"/>
        <w:spacing w:line="360" w:lineRule="auto"/>
        <w:ind w:left="0" w:leftChars="0" w:firstLine="0" w:firstLineChars="0"/>
        <w:jc w:val="center"/>
        <w:rPr>
          <w:rFonts w:hint="eastAsia" w:ascii="华文中宋" w:hAnsi="华文中宋" w:eastAsia="华文中宋"/>
          <w:b/>
          <w:bCs/>
          <w:color w:val="auto"/>
          <w:sz w:val="52"/>
          <w:szCs w:val="52"/>
          <w:lang w:val="en-US" w:eastAsia="zh-CN"/>
        </w:rPr>
      </w:pPr>
    </w:p>
    <w:p>
      <w:pPr>
        <w:pageBreakBefore w:val="0"/>
        <w:kinsoku/>
        <w:wordWrap/>
        <w:overflowPunct/>
        <w:topLinePunct w:val="0"/>
        <w:bidi w:val="0"/>
        <w:snapToGrid w:val="0"/>
        <w:spacing w:line="360" w:lineRule="auto"/>
        <w:ind w:left="0" w:leftChars="0" w:firstLine="0" w:firstLineChars="0"/>
        <w:jc w:val="center"/>
        <w:outlineLvl w:val="0"/>
        <w:rPr>
          <w:rFonts w:hint="eastAsia" w:ascii="华文中宋" w:hAnsi="华文中宋" w:eastAsia="华文中宋"/>
          <w:b/>
          <w:bCs/>
          <w:color w:val="auto"/>
          <w:sz w:val="52"/>
          <w:szCs w:val="52"/>
          <w:lang w:val="en-US" w:eastAsia="zh-CN"/>
        </w:rPr>
      </w:pPr>
      <w:bookmarkStart w:id="1" w:name="_Toc17261"/>
      <w:bookmarkStart w:id="2" w:name="_Toc23106"/>
      <w:bookmarkStart w:id="3" w:name="_Toc2964"/>
      <w:bookmarkStart w:id="4" w:name="_Toc29956"/>
      <w:r>
        <w:rPr>
          <w:rFonts w:hint="eastAsia" w:ascii="华文中宋" w:hAnsi="华文中宋" w:eastAsia="华文中宋"/>
          <w:b/>
          <w:bCs/>
          <w:color w:val="auto"/>
          <w:sz w:val="52"/>
          <w:szCs w:val="52"/>
          <w:lang w:val="en-US" w:eastAsia="zh-CN"/>
        </w:rPr>
        <w:t>吉林省德惠市国家现代农业产业园</w:t>
      </w:r>
      <w:bookmarkEnd w:id="1"/>
      <w:bookmarkEnd w:id="2"/>
      <w:bookmarkEnd w:id="3"/>
      <w:bookmarkEnd w:id="4"/>
    </w:p>
    <w:p>
      <w:pPr>
        <w:pageBreakBefore w:val="0"/>
        <w:kinsoku/>
        <w:wordWrap/>
        <w:overflowPunct/>
        <w:topLinePunct w:val="0"/>
        <w:bidi w:val="0"/>
        <w:snapToGrid w:val="0"/>
        <w:spacing w:line="360" w:lineRule="auto"/>
        <w:ind w:left="0" w:leftChars="0" w:firstLine="0" w:firstLineChars="0"/>
        <w:jc w:val="center"/>
        <w:outlineLvl w:val="0"/>
        <w:rPr>
          <w:rFonts w:hint="default" w:ascii="华文中宋" w:hAnsi="华文中宋" w:eastAsia="华文中宋"/>
          <w:b/>
          <w:bCs/>
          <w:color w:val="auto"/>
          <w:sz w:val="52"/>
          <w:szCs w:val="52"/>
          <w:lang w:val="en-US" w:eastAsia="zh-CN"/>
        </w:rPr>
      </w:pPr>
      <w:bookmarkStart w:id="5" w:name="_Toc17276"/>
      <w:bookmarkStart w:id="6" w:name="_Toc7121"/>
      <w:bookmarkStart w:id="7" w:name="_Toc8319"/>
      <w:bookmarkStart w:id="8" w:name="_Toc5514"/>
      <w:r>
        <w:rPr>
          <w:rFonts w:hint="eastAsia" w:ascii="华文中宋" w:hAnsi="华文中宋" w:eastAsia="华文中宋"/>
          <w:b/>
          <w:bCs/>
          <w:color w:val="auto"/>
          <w:sz w:val="52"/>
          <w:szCs w:val="52"/>
          <w:lang w:val="en-US" w:eastAsia="zh-CN"/>
        </w:rPr>
        <w:t>中央财政奖补资金使用方案</w:t>
      </w:r>
      <w:bookmarkEnd w:id="5"/>
      <w:bookmarkEnd w:id="6"/>
      <w:bookmarkEnd w:id="7"/>
      <w:bookmarkEnd w:id="8"/>
    </w:p>
    <w:p>
      <w:pPr>
        <w:pStyle w:val="7"/>
        <w:pageBreakBefore w:val="0"/>
        <w:kinsoku/>
        <w:wordWrap/>
        <w:overflowPunct/>
        <w:topLinePunct w:val="0"/>
        <w:bidi w:val="0"/>
        <w:snapToGrid w:val="0"/>
        <w:spacing w:line="360" w:lineRule="auto"/>
        <w:rPr>
          <w:rFonts w:eastAsiaTheme="minorEastAsia"/>
          <w:b/>
          <w:color w:val="auto"/>
          <w:sz w:val="52"/>
          <w:szCs w:val="21"/>
        </w:rPr>
      </w:pPr>
    </w:p>
    <w:p>
      <w:pPr>
        <w:pStyle w:val="7"/>
        <w:pageBreakBefore w:val="0"/>
        <w:kinsoku/>
        <w:wordWrap/>
        <w:overflowPunct/>
        <w:topLinePunct w:val="0"/>
        <w:bidi w:val="0"/>
        <w:snapToGrid w:val="0"/>
        <w:spacing w:line="360" w:lineRule="auto"/>
        <w:rPr>
          <w:rFonts w:hint="eastAsia" w:eastAsiaTheme="minorEastAsia"/>
          <w:b/>
          <w:color w:val="auto"/>
          <w:sz w:val="52"/>
          <w:szCs w:val="21"/>
          <w:lang w:eastAsia="zh-CN"/>
        </w:rPr>
      </w:pPr>
    </w:p>
    <w:p>
      <w:pPr>
        <w:pStyle w:val="7"/>
        <w:pageBreakBefore w:val="0"/>
        <w:kinsoku/>
        <w:wordWrap/>
        <w:overflowPunct/>
        <w:topLinePunct w:val="0"/>
        <w:bidi w:val="0"/>
        <w:snapToGrid w:val="0"/>
        <w:spacing w:line="360" w:lineRule="auto"/>
        <w:rPr>
          <w:rFonts w:hint="eastAsia" w:eastAsiaTheme="minorEastAsia"/>
          <w:b/>
          <w:color w:val="auto"/>
          <w:sz w:val="52"/>
          <w:szCs w:val="21"/>
          <w:lang w:eastAsia="zh-CN"/>
        </w:rPr>
      </w:pPr>
    </w:p>
    <w:p>
      <w:pPr>
        <w:pStyle w:val="7"/>
        <w:pageBreakBefore w:val="0"/>
        <w:kinsoku/>
        <w:wordWrap/>
        <w:overflowPunct/>
        <w:topLinePunct w:val="0"/>
        <w:bidi w:val="0"/>
        <w:snapToGrid w:val="0"/>
        <w:spacing w:line="360" w:lineRule="auto"/>
        <w:rPr>
          <w:rFonts w:hint="eastAsia" w:eastAsiaTheme="minorEastAsia"/>
          <w:b/>
          <w:color w:val="auto"/>
          <w:sz w:val="52"/>
          <w:szCs w:val="21"/>
          <w:lang w:eastAsia="zh-CN"/>
        </w:rPr>
      </w:pPr>
    </w:p>
    <w:p>
      <w:pPr>
        <w:pStyle w:val="7"/>
        <w:pageBreakBefore w:val="0"/>
        <w:kinsoku/>
        <w:wordWrap/>
        <w:overflowPunct/>
        <w:topLinePunct w:val="0"/>
        <w:bidi w:val="0"/>
        <w:snapToGrid w:val="0"/>
        <w:spacing w:line="360" w:lineRule="auto"/>
        <w:rPr>
          <w:rFonts w:eastAsiaTheme="minorEastAsia"/>
          <w:b/>
          <w:color w:val="auto"/>
          <w:sz w:val="52"/>
          <w:szCs w:val="21"/>
        </w:rPr>
      </w:pPr>
    </w:p>
    <w:bookmarkEnd w:id="0"/>
    <w:p>
      <w:pPr>
        <w:pageBreakBefore w:val="0"/>
        <w:kinsoku/>
        <w:wordWrap/>
        <w:overflowPunct/>
        <w:topLinePunct w:val="0"/>
        <w:bidi w:val="0"/>
        <w:snapToGrid w:val="0"/>
        <w:spacing w:line="360" w:lineRule="auto"/>
        <w:ind w:left="0" w:leftChars="0" w:firstLine="0" w:firstLineChars="0"/>
        <w:jc w:val="center"/>
        <w:rPr>
          <w:rFonts w:hint="eastAsia" w:ascii="楷体_GB2312" w:eastAsia="楷体_GB2312"/>
          <w:b/>
          <w:bCs/>
          <w:color w:val="auto"/>
          <w:sz w:val="36"/>
          <w:szCs w:val="36"/>
        </w:rPr>
      </w:pPr>
      <w:r>
        <w:rPr>
          <w:rFonts w:hint="eastAsia" w:eastAsia="楷体_GB2312"/>
          <w:b/>
          <w:bCs/>
          <w:color w:val="auto"/>
          <w:sz w:val="36"/>
          <w:szCs w:val="36"/>
          <w:lang w:val="en-US" w:eastAsia="zh-CN"/>
        </w:rPr>
        <w:t>吉林</w:t>
      </w:r>
      <w:r>
        <w:rPr>
          <w:rFonts w:hint="eastAsia" w:ascii="楷体_GB2312" w:eastAsia="楷体_GB2312"/>
          <w:b/>
          <w:bCs/>
          <w:color w:val="auto"/>
          <w:sz w:val="36"/>
          <w:szCs w:val="36"/>
        </w:rPr>
        <w:t>省</w:t>
      </w:r>
      <w:r>
        <w:rPr>
          <w:rFonts w:hint="eastAsia" w:ascii="楷体_GB2312" w:eastAsia="楷体_GB2312"/>
          <w:b/>
          <w:bCs/>
          <w:color w:val="auto"/>
          <w:sz w:val="36"/>
          <w:szCs w:val="36"/>
          <w:lang w:val="en-US" w:eastAsia="zh-CN"/>
        </w:rPr>
        <w:t>长春</w:t>
      </w:r>
      <w:r>
        <w:rPr>
          <w:rFonts w:hint="eastAsia" w:ascii="楷体_GB2312" w:eastAsia="楷体_GB2312"/>
          <w:b/>
          <w:bCs/>
          <w:color w:val="auto"/>
          <w:sz w:val="36"/>
          <w:szCs w:val="36"/>
        </w:rPr>
        <w:t>市</w:t>
      </w:r>
    </w:p>
    <w:p>
      <w:pPr>
        <w:pageBreakBefore w:val="0"/>
        <w:kinsoku/>
        <w:wordWrap/>
        <w:overflowPunct/>
        <w:topLinePunct w:val="0"/>
        <w:bidi w:val="0"/>
        <w:snapToGrid w:val="0"/>
        <w:spacing w:line="360" w:lineRule="auto"/>
        <w:ind w:left="0" w:leftChars="0" w:firstLine="0" w:firstLineChars="0"/>
        <w:jc w:val="center"/>
        <w:rPr>
          <w:rFonts w:hint="eastAsia" w:eastAsia="楷体_GB2312"/>
          <w:b/>
          <w:bCs/>
          <w:color w:val="auto"/>
          <w:sz w:val="36"/>
          <w:szCs w:val="36"/>
          <w:lang w:val="en-US" w:eastAsia="zh-CN"/>
        </w:rPr>
      </w:pPr>
      <w:r>
        <w:rPr>
          <w:rFonts w:hint="eastAsia" w:ascii="楷体_GB2312" w:eastAsia="楷体_GB2312"/>
          <w:b/>
          <w:bCs/>
          <w:color w:val="auto"/>
          <w:sz w:val="36"/>
          <w:szCs w:val="36"/>
          <w:lang w:val="en-US" w:eastAsia="zh-CN"/>
        </w:rPr>
        <w:t>德惠市</w:t>
      </w:r>
    </w:p>
    <w:p>
      <w:pPr>
        <w:pageBreakBefore w:val="0"/>
        <w:kinsoku/>
        <w:wordWrap/>
        <w:overflowPunct/>
        <w:topLinePunct w:val="0"/>
        <w:bidi w:val="0"/>
        <w:snapToGrid w:val="0"/>
        <w:spacing w:line="360" w:lineRule="auto"/>
        <w:ind w:left="0" w:leftChars="0" w:firstLine="0" w:firstLineChars="0"/>
        <w:jc w:val="center"/>
        <w:rPr>
          <w:rFonts w:eastAsia="黑体"/>
          <w:color w:val="auto"/>
          <w:sz w:val="32"/>
          <w:szCs w:val="32"/>
        </w:rPr>
      </w:pPr>
      <w:r>
        <w:rPr>
          <w:rFonts w:eastAsia="楷体_GB2312"/>
          <w:b/>
          <w:bCs/>
          <w:color w:val="auto"/>
          <w:sz w:val="36"/>
          <w:szCs w:val="36"/>
        </w:rPr>
        <w:t>20</w:t>
      </w:r>
      <w:r>
        <w:rPr>
          <w:rFonts w:hint="eastAsia" w:eastAsia="楷体_GB2312"/>
          <w:b/>
          <w:bCs/>
          <w:color w:val="auto"/>
          <w:sz w:val="36"/>
          <w:szCs w:val="36"/>
        </w:rPr>
        <w:t>2</w:t>
      </w:r>
      <w:r>
        <w:rPr>
          <w:rFonts w:hint="eastAsia" w:eastAsia="楷体_GB2312"/>
          <w:b/>
          <w:bCs/>
          <w:color w:val="auto"/>
          <w:sz w:val="36"/>
          <w:szCs w:val="36"/>
          <w:lang w:val="en-US" w:eastAsia="zh-CN"/>
        </w:rPr>
        <w:t>4</w:t>
      </w:r>
      <w:r>
        <w:rPr>
          <w:rFonts w:hint="eastAsia" w:ascii="楷体_GB2312" w:eastAsia="楷体_GB2312"/>
          <w:b/>
          <w:bCs/>
          <w:color w:val="auto"/>
          <w:sz w:val="36"/>
          <w:szCs w:val="36"/>
        </w:rPr>
        <w:t>年</w:t>
      </w:r>
      <w:r>
        <w:rPr>
          <w:rFonts w:hint="eastAsia" w:eastAsia="楷体_GB2312"/>
          <w:b/>
          <w:bCs/>
          <w:color w:val="auto"/>
          <w:sz w:val="36"/>
          <w:szCs w:val="36"/>
          <w:lang w:val="en-US" w:eastAsia="zh-CN"/>
        </w:rPr>
        <w:t>5</w:t>
      </w:r>
      <w:r>
        <w:rPr>
          <w:rFonts w:hint="eastAsia" w:ascii="楷体_GB2312" w:eastAsia="楷体_GB2312"/>
          <w:b/>
          <w:bCs/>
          <w:color w:val="auto"/>
          <w:sz w:val="36"/>
          <w:szCs w:val="36"/>
        </w:rPr>
        <w:t>月</w:t>
      </w:r>
      <w:r>
        <w:rPr>
          <w:rFonts w:hint="eastAsia" w:eastAsia="楷体_GB2312"/>
          <w:b/>
          <w:bCs/>
          <w:color w:val="auto"/>
          <w:sz w:val="36"/>
          <w:szCs w:val="36"/>
          <w:lang w:val="en-US" w:eastAsia="zh-CN"/>
        </w:rPr>
        <w:t>24</w:t>
      </w:r>
      <w:r>
        <w:rPr>
          <w:rFonts w:hint="eastAsia" w:ascii="楷体_GB2312" w:eastAsia="楷体_GB2312"/>
          <w:b/>
          <w:bCs/>
          <w:color w:val="auto"/>
          <w:sz w:val="36"/>
          <w:szCs w:val="36"/>
        </w:rPr>
        <w:t>日</w:t>
      </w:r>
    </w:p>
    <w:p>
      <w:pPr>
        <w:ind w:left="0" w:leftChars="0" w:firstLine="0" w:firstLineChars="0"/>
        <w:jc w:val="center"/>
        <w:rPr>
          <w:rFonts w:hint="eastAsia"/>
          <w:b/>
          <w:bCs/>
          <w:color w:val="auto"/>
          <w:lang w:val="en-US" w:eastAsia="zh-CN"/>
        </w:rPr>
        <w:sectPr>
          <w:pgSz w:w="11906" w:h="16838"/>
          <w:pgMar w:top="1440" w:right="1800" w:bottom="1440" w:left="1800" w:header="851" w:footer="992" w:gutter="0"/>
          <w:cols w:space="425" w:num="1"/>
          <w:docGrid w:type="lines" w:linePitch="312" w:charSpace="0"/>
        </w:sectPr>
      </w:pPr>
    </w:p>
    <w:p>
      <w:pPr>
        <w:ind w:left="0" w:leftChars="0" w:firstLine="0" w:firstLineChars="0"/>
        <w:jc w:val="center"/>
        <w:rPr>
          <w:rFonts w:hint="eastAsia"/>
          <w:b/>
          <w:bCs/>
          <w:color w:val="auto"/>
          <w:lang w:val="en-US" w:eastAsia="zh-CN"/>
        </w:rPr>
      </w:pPr>
      <w:r>
        <w:rPr>
          <w:rFonts w:hint="eastAsia"/>
          <w:b/>
          <w:bCs/>
          <w:color w:val="auto"/>
          <w:lang w:val="en-US" w:eastAsia="zh-CN"/>
        </w:rPr>
        <w:t>目  录</w:t>
      </w:r>
    </w:p>
    <w:p>
      <w:pPr>
        <w:ind w:firstLine="640" w:firstLineChars="200"/>
        <w:rPr>
          <w:rFonts w:hint="eastAsia" w:ascii="仿宋" w:hAnsi="仿宋" w:eastAsia="仿宋" w:cs="仿宋"/>
          <w:color w:val="auto"/>
          <w:sz w:val="32"/>
          <w:szCs w:val="32"/>
        </w:rPr>
      </w:pPr>
      <w:bookmarkStart w:id="9" w:name="_Toc22851"/>
      <w:bookmarkStart w:id="10" w:name="_Toc2147168439"/>
    </w:p>
    <w:sdt>
      <w:sdtPr>
        <w:rPr>
          <w:rFonts w:ascii="宋体" w:hAnsi="宋体" w:eastAsia="宋体" w:cstheme="minorBidi"/>
          <w:color w:val="auto"/>
          <w:kern w:val="2"/>
          <w:sz w:val="21"/>
          <w:szCs w:val="22"/>
          <w:lang w:val="en-US" w:eastAsia="zh-CN" w:bidi="ar-SA"/>
        </w:rPr>
        <w:id w:val="147466475"/>
        <w15:color w:val="DBDBDB"/>
        <w:docPartObj>
          <w:docPartGallery w:val="Table of Contents"/>
          <w:docPartUnique/>
        </w:docPartObj>
      </w:sdtPr>
      <w:sdtEndPr>
        <w:rPr>
          <w:rFonts w:hint="eastAsia" w:ascii="Times New Roman" w:hAnsi="Times New Roman" w:eastAsia="仿宋" w:cstheme="minorBidi"/>
          <w:b/>
          <w:color w:val="auto"/>
          <w:kern w:val="2"/>
          <w:sz w:val="32"/>
          <w:szCs w:val="22"/>
          <w:lang w:val="en-US" w:eastAsia="zh-CN" w:bidi="ar-SA"/>
        </w:rPr>
      </w:sdtEndPr>
      <w:sdtContent>
        <w:p>
          <w:pPr>
            <w:spacing w:before="0" w:beforeLines="0" w:after="0" w:afterLines="0" w:line="240" w:lineRule="auto"/>
            <w:ind w:left="0" w:leftChars="0" w:right="0" w:rightChars="0" w:firstLine="0" w:firstLineChars="0"/>
            <w:jc w:val="center"/>
            <w:rPr>
              <w:color w:val="auto"/>
            </w:rPr>
          </w:pPr>
        </w:p>
        <w:p>
          <w:pPr>
            <w:pStyle w:val="12"/>
            <w:keepNext w:val="0"/>
            <w:keepLines w:val="0"/>
            <w:pageBreakBefore w:val="0"/>
            <w:widowControl w:val="0"/>
            <w:tabs>
              <w:tab w:val="right" w:leader="dot" w:pos="8306"/>
            </w:tabs>
            <w:kinsoku/>
            <w:wordWrap/>
            <w:overflowPunct/>
            <w:topLinePunct w:val="0"/>
            <w:autoSpaceDE/>
            <w:autoSpaceDN/>
            <w:bidi w:val="0"/>
            <w:adjustRightInd/>
            <w:snapToGrid/>
            <w:ind w:left="0" w:leftChars="0" w:firstLine="0" w:firstLineChars="0"/>
            <w:textAlignment w:val="auto"/>
            <w:rPr>
              <w:rFonts w:hint="default" w:ascii="Times New Roman" w:hAnsi="Times New Roman" w:eastAsia="黑体" w:cs="Times New Roman"/>
            </w:rPr>
          </w:pPr>
          <w:r>
            <w:rPr>
              <w:rFonts w:hint="default" w:ascii="Times New Roman" w:hAnsi="Times New Roman" w:eastAsia="楷体" w:cs="Times New Roman"/>
              <w:color w:val="auto"/>
              <w:sz w:val="32"/>
              <w:szCs w:val="32"/>
            </w:rPr>
            <w:fldChar w:fldCharType="begin"/>
          </w:r>
          <w:r>
            <w:rPr>
              <w:rFonts w:hint="default" w:ascii="Times New Roman" w:hAnsi="Times New Roman" w:eastAsia="楷体" w:cs="Times New Roman"/>
              <w:color w:val="auto"/>
              <w:sz w:val="32"/>
              <w:szCs w:val="32"/>
            </w:rPr>
            <w:instrText xml:space="preserve">TOC \o "1-2" \h \u </w:instrText>
          </w:r>
          <w:r>
            <w:rPr>
              <w:rFonts w:hint="default" w:ascii="Times New Roman" w:hAnsi="Times New Roman" w:eastAsia="楷体" w:cs="Times New Roman"/>
              <w:color w:val="auto"/>
              <w:sz w:val="32"/>
              <w:szCs w:val="32"/>
            </w:rPr>
            <w:fldChar w:fldCharType="separate"/>
          </w:r>
          <w:r>
            <w:rPr>
              <w:rFonts w:hint="default" w:ascii="Times New Roman" w:hAnsi="Times New Roman" w:eastAsia="黑体" w:cs="Times New Roman"/>
              <w:color w:val="auto"/>
              <w:szCs w:val="32"/>
            </w:rPr>
            <w:fldChar w:fldCharType="begin"/>
          </w:r>
          <w:r>
            <w:rPr>
              <w:rFonts w:hint="default" w:ascii="Times New Roman" w:hAnsi="Times New Roman" w:eastAsia="黑体" w:cs="Times New Roman"/>
              <w:szCs w:val="32"/>
            </w:rPr>
            <w:instrText xml:space="preserve"> HYPERLINK \l _Toc6348 </w:instrText>
          </w:r>
          <w:r>
            <w:rPr>
              <w:rFonts w:hint="default" w:ascii="Times New Roman" w:hAnsi="Times New Roman" w:eastAsia="黑体" w:cs="Times New Roman"/>
              <w:szCs w:val="32"/>
            </w:rPr>
            <w:fldChar w:fldCharType="separate"/>
          </w:r>
          <w:r>
            <w:rPr>
              <w:rFonts w:hint="default" w:ascii="Times New Roman" w:hAnsi="Times New Roman" w:eastAsia="黑体" w:cs="Times New Roman"/>
              <w:bCs w:val="0"/>
              <w:kern w:val="44"/>
              <w:szCs w:val="32"/>
              <w:lang w:val="en-US" w:eastAsia="zh-CN"/>
            </w:rPr>
            <w:t>一、产业园基本情况</w:t>
          </w:r>
          <w:r>
            <w:rPr>
              <w:rFonts w:hint="default" w:ascii="Times New Roman" w:hAnsi="Times New Roman" w:eastAsia="黑体" w:cs="Times New Roman"/>
            </w:rPr>
            <w:tab/>
          </w:r>
          <w:r>
            <w:rPr>
              <w:rFonts w:hint="default" w:ascii="Times New Roman" w:hAnsi="Times New Roman" w:eastAsia="黑体" w:cs="Times New Roman"/>
            </w:rPr>
            <w:fldChar w:fldCharType="begin"/>
          </w:r>
          <w:r>
            <w:rPr>
              <w:rFonts w:hint="default" w:ascii="Times New Roman" w:hAnsi="Times New Roman" w:eastAsia="黑体" w:cs="Times New Roman"/>
            </w:rPr>
            <w:instrText xml:space="preserve"> PAGEREF _Toc6348 \h </w:instrText>
          </w:r>
          <w:r>
            <w:rPr>
              <w:rFonts w:hint="default" w:ascii="Times New Roman" w:hAnsi="Times New Roman" w:eastAsia="黑体" w:cs="Times New Roman"/>
            </w:rPr>
            <w:fldChar w:fldCharType="separate"/>
          </w:r>
          <w:r>
            <w:rPr>
              <w:rFonts w:hint="default" w:ascii="Times New Roman" w:hAnsi="Times New Roman" w:eastAsia="黑体" w:cs="Times New Roman"/>
            </w:rPr>
            <w:t>1</w:t>
          </w:r>
          <w:r>
            <w:rPr>
              <w:rFonts w:hint="default" w:ascii="Times New Roman" w:hAnsi="Times New Roman" w:eastAsia="黑体" w:cs="Times New Roman"/>
            </w:rPr>
            <w:fldChar w:fldCharType="end"/>
          </w:r>
          <w:r>
            <w:rPr>
              <w:rFonts w:hint="default" w:ascii="Times New Roman" w:hAnsi="Times New Roman" w:eastAsia="黑体" w:cs="Times New Roman"/>
              <w:color w:val="auto"/>
              <w:szCs w:val="32"/>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default" w:ascii="Times New Roman" w:hAnsi="Times New Roman" w:eastAsia="楷体" w:cs="Times New Roman"/>
              <w:color w:val="auto"/>
              <w:szCs w:val="32"/>
            </w:rPr>
            <w:fldChar w:fldCharType="begin"/>
          </w:r>
          <w:r>
            <w:rPr>
              <w:rFonts w:hint="default" w:ascii="Times New Roman" w:hAnsi="Times New Roman" w:eastAsia="楷体" w:cs="Times New Roman"/>
              <w:szCs w:val="32"/>
            </w:rPr>
            <w:instrText xml:space="preserve"> HYPERLINK \l _Toc19599 </w:instrText>
          </w:r>
          <w:r>
            <w:rPr>
              <w:rFonts w:hint="default" w:ascii="Times New Roman" w:hAnsi="Times New Roman" w:eastAsia="楷体" w:cs="Times New Roman"/>
              <w:szCs w:val="32"/>
            </w:rPr>
            <w:fldChar w:fldCharType="separate"/>
          </w:r>
          <w:r>
            <w:rPr>
              <w:rFonts w:hint="eastAsia" w:eastAsia="楷体" w:cs="Times New Roman"/>
              <w:bCs/>
              <w:lang w:val="en-US" w:eastAsia="zh-CN"/>
            </w:rPr>
            <w:t>（一）产业园名称</w:t>
          </w:r>
          <w:r>
            <w:tab/>
          </w:r>
          <w:r>
            <w:fldChar w:fldCharType="begin"/>
          </w:r>
          <w:r>
            <w:instrText xml:space="preserve"> PAGEREF _Toc19599 \h </w:instrText>
          </w:r>
          <w:r>
            <w:fldChar w:fldCharType="separate"/>
          </w:r>
          <w:r>
            <w:t>1</w:t>
          </w:r>
          <w:r>
            <w:fldChar w:fldCharType="end"/>
          </w:r>
          <w:r>
            <w:rPr>
              <w:rFonts w:hint="default" w:ascii="Times New Roman" w:hAnsi="Times New Roman" w:eastAsia="楷体" w:cs="Times New Roman"/>
              <w:color w:val="auto"/>
              <w:szCs w:val="32"/>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default" w:ascii="Times New Roman" w:hAnsi="Times New Roman" w:eastAsia="楷体" w:cs="Times New Roman"/>
              <w:color w:val="auto"/>
              <w:szCs w:val="32"/>
            </w:rPr>
            <w:fldChar w:fldCharType="begin"/>
          </w:r>
          <w:r>
            <w:rPr>
              <w:rFonts w:hint="default" w:ascii="Times New Roman" w:hAnsi="Times New Roman" w:eastAsia="楷体" w:cs="Times New Roman"/>
              <w:szCs w:val="32"/>
            </w:rPr>
            <w:instrText xml:space="preserve"> HYPERLINK \l _Toc14752 </w:instrText>
          </w:r>
          <w:r>
            <w:rPr>
              <w:rFonts w:hint="default" w:ascii="Times New Roman" w:hAnsi="Times New Roman" w:eastAsia="楷体" w:cs="Times New Roman"/>
              <w:szCs w:val="32"/>
            </w:rPr>
            <w:fldChar w:fldCharType="separate"/>
          </w:r>
          <w:r>
            <w:rPr>
              <w:rFonts w:hint="eastAsia" w:eastAsia="楷体" w:cs="Times New Roman"/>
              <w:bCs/>
              <w:lang w:val="en-US" w:eastAsia="zh-CN"/>
            </w:rPr>
            <w:t>（二）</w:t>
          </w:r>
          <w:r>
            <w:rPr>
              <w:rFonts w:hint="eastAsia" w:ascii="Times New Roman" w:hAnsi="Times New Roman" w:eastAsia="楷体" w:cs="Times New Roman"/>
              <w:bCs/>
              <w:lang w:val="en-US" w:eastAsia="zh-CN"/>
            </w:rPr>
            <w:t>产业园建设范围</w:t>
          </w:r>
          <w:r>
            <w:tab/>
          </w:r>
          <w:r>
            <w:fldChar w:fldCharType="begin"/>
          </w:r>
          <w:r>
            <w:instrText xml:space="preserve"> PAGEREF _Toc14752 \h </w:instrText>
          </w:r>
          <w:r>
            <w:fldChar w:fldCharType="separate"/>
          </w:r>
          <w:r>
            <w:t>1</w:t>
          </w:r>
          <w:r>
            <w:fldChar w:fldCharType="end"/>
          </w:r>
          <w:r>
            <w:rPr>
              <w:rFonts w:hint="default" w:ascii="Times New Roman" w:hAnsi="Times New Roman" w:eastAsia="楷体" w:cs="Times New Roman"/>
              <w:color w:val="auto"/>
              <w:szCs w:val="32"/>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default" w:ascii="Times New Roman" w:hAnsi="Times New Roman" w:eastAsia="楷体" w:cs="Times New Roman"/>
              <w:color w:val="auto"/>
              <w:szCs w:val="32"/>
            </w:rPr>
            <w:fldChar w:fldCharType="begin"/>
          </w:r>
          <w:r>
            <w:rPr>
              <w:rFonts w:hint="default" w:ascii="Times New Roman" w:hAnsi="Times New Roman" w:eastAsia="楷体" w:cs="Times New Roman"/>
              <w:szCs w:val="32"/>
            </w:rPr>
            <w:instrText xml:space="preserve"> HYPERLINK \l _Toc12049 </w:instrText>
          </w:r>
          <w:r>
            <w:rPr>
              <w:rFonts w:hint="default" w:ascii="Times New Roman" w:hAnsi="Times New Roman" w:eastAsia="楷体" w:cs="Times New Roman"/>
              <w:szCs w:val="32"/>
            </w:rPr>
            <w:fldChar w:fldCharType="separate"/>
          </w:r>
          <w:r>
            <w:rPr>
              <w:rFonts w:hint="eastAsia" w:eastAsia="楷体" w:cs="Times New Roman"/>
              <w:bCs/>
              <w:lang w:val="en-US" w:eastAsia="zh-CN"/>
            </w:rPr>
            <w:t>（三）</w:t>
          </w:r>
          <w:r>
            <w:rPr>
              <w:rFonts w:hint="eastAsia" w:ascii="Times New Roman" w:hAnsi="Times New Roman" w:eastAsia="楷体" w:cs="Times New Roman"/>
              <w:bCs/>
              <w:lang w:val="en-US" w:eastAsia="zh-CN"/>
            </w:rPr>
            <w:t>产业园基本情况</w:t>
          </w:r>
          <w:r>
            <w:tab/>
          </w:r>
          <w:r>
            <w:fldChar w:fldCharType="begin"/>
          </w:r>
          <w:r>
            <w:instrText xml:space="preserve"> PAGEREF _Toc12049 \h </w:instrText>
          </w:r>
          <w:r>
            <w:fldChar w:fldCharType="separate"/>
          </w:r>
          <w:r>
            <w:t>1</w:t>
          </w:r>
          <w:r>
            <w:fldChar w:fldCharType="end"/>
          </w:r>
          <w:r>
            <w:rPr>
              <w:rFonts w:hint="default" w:ascii="Times New Roman" w:hAnsi="Times New Roman" w:eastAsia="楷体" w:cs="Times New Roman"/>
              <w:color w:val="auto"/>
              <w:szCs w:val="32"/>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default" w:ascii="Times New Roman" w:hAnsi="Times New Roman" w:eastAsia="楷体" w:cs="Times New Roman"/>
              <w:color w:val="auto"/>
              <w:szCs w:val="32"/>
            </w:rPr>
            <w:fldChar w:fldCharType="begin"/>
          </w:r>
          <w:r>
            <w:rPr>
              <w:rFonts w:hint="default" w:ascii="Times New Roman" w:hAnsi="Times New Roman" w:eastAsia="楷体" w:cs="Times New Roman"/>
              <w:szCs w:val="32"/>
            </w:rPr>
            <w:instrText xml:space="preserve"> HYPERLINK \l _Toc22467 </w:instrText>
          </w:r>
          <w:r>
            <w:rPr>
              <w:rFonts w:hint="default" w:ascii="Times New Roman" w:hAnsi="Times New Roman" w:eastAsia="楷体" w:cs="Times New Roman"/>
              <w:szCs w:val="32"/>
            </w:rPr>
            <w:fldChar w:fldCharType="separate"/>
          </w:r>
          <w:r>
            <w:rPr>
              <w:rFonts w:hint="eastAsia" w:eastAsia="楷体" w:cs="Times New Roman"/>
              <w:bCs/>
              <w:lang w:val="en-US" w:eastAsia="zh-CN"/>
            </w:rPr>
            <w:t>（四）</w:t>
          </w:r>
          <w:r>
            <w:rPr>
              <w:rFonts w:hint="eastAsia" w:ascii="Times New Roman" w:hAnsi="Times New Roman" w:eastAsia="楷体" w:cs="Times New Roman"/>
              <w:bCs/>
              <w:lang w:val="en-US" w:eastAsia="zh-CN"/>
            </w:rPr>
            <w:t>主导产业</w:t>
          </w:r>
          <w:r>
            <w:rPr>
              <w:rFonts w:hint="eastAsia" w:eastAsia="楷体" w:cs="Times New Roman"/>
              <w:bCs/>
              <w:lang w:val="en-US" w:eastAsia="zh-CN"/>
            </w:rPr>
            <w:t>概况</w:t>
          </w:r>
          <w:r>
            <w:tab/>
          </w:r>
          <w:r>
            <w:fldChar w:fldCharType="begin"/>
          </w:r>
          <w:r>
            <w:instrText xml:space="preserve"> PAGEREF _Toc22467 \h </w:instrText>
          </w:r>
          <w:r>
            <w:fldChar w:fldCharType="separate"/>
          </w:r>
          <w:r>
            <w:t>3</w:t>
          </w:r>
          <w:r>
            <w:fldChar w:fldCharType="end"/>
          </w:r>
          <w:r>
            <w:rPr>
              <w:rFonts w:hint="default" w:ascii="Times New Roman" w:hAnsi="Times New Roman" w:eastAsia="楷体" w:cs="Times New Roman"/>
              <w:color w:val="auto"/>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left="0" w:leftChars="0" w:firstLine="0" w:firstLineChars="0"/>
            <w:textAlignment w:val="auto"/>
            <w:rPr>
              <w:rFonts w:hint="default" w:ascii="Times New Roman" w:hAnsi="Times New Roman" w:eastAsia="黑体" w:cs="Times New Roman"/>
            </w:rPr>
          </w:pPr>
          <w:r>
            <w:rPr>
              <w:rFonts w:hint="default" w:ascii="Times New Roman" w:hAnsi="Times New Roman" w:eastAsia="黑体" w:cs="Times New Roman"/>
              <w:color w:val="auto"/>
              <w:szCs w:val="32"/>
            </w:rPr>
            <w:fldChar w:fldCharType="begin"/>
          </w:r>
          <w:r>
            <w:rPr>
              <w:rFonts w:hint="default" w:ascii="Times New Roman" w:hAnsi="Times New Roman" w:eastAsia="黑体" w:cs="Times New Roman"/>
              <w:szCs w:val="32"/>
            </w:rPr>
            <w:instrText xml:space="preserve"> HYPERLINK \l _Toc17864 </w:instrText>
          </w:r>
          <w:r>
            <w:rPr>
              <w:rFonts w:hint="default" w:ascii="Times New Roman" w:hAnsi="Times New Roman" w:eastAsia="黑体" w:cs="Times New Roman"/>
              <w:szCs w:val="32"/>
            </w:rPr>
            <w:fldChar w:fldCharType="separate"/>
          </w:r>
          <w:r>
            <w:rPr>
              <w:rFonts w:hint="default" w:ascii="Times New Roman" w:hAnsi="Times New Roman" w:eastAsia="黑体" w:cs="Times New Roman"/>
              <w:bCs w:val="0"/>
              <w:kern w:val="44"/>
              <w:szCs w:val="32"/>
              <w:lang w:val="en-US" w:eastAsia="zh-CN"/>
            </w:rPr>
            <w:t>二、中央财政奖补资金使用原则</w:t>
          </w:r>
          <w:r>
            <w:rPr>
              <w:rFonts w:hint="default" w:ascii="Times New Roman" w:hAnsi="Times New Roman" w:eastAsia="黑体" w:cs="Times New Roman"/>
            </w:rPr>
            <w:tab/>
          </w:r>
          <w:r>
            <w:rPr>
              <w:rFonts w:hint="default" w:ascii="Times New Roman" w:hAnsi="Times New Roman" w:eastAsia="黑体" w:cs="Times New Roman"/>
            </w:rPr>
            <w:fldChar w:fldCharType="begin"/>
          </w:r>
          <w:r>
            <w:rPr>
              <w:rFonts w:hint="default" w:ascii="Times New Roman" w:hAnsi="Times New Roman" w:eastAsia="黑体" w:cs="Times New Roman"/>
            </w:rPr>
            <w:instrText xml:space="preserve"> PAGEREF _Toc17864 \h </w:instrText>
          </w:r>
          <w:r>
            <w:rPr>
              <w:rFonts w:hint="default" w:ascii="Times New Roman" w:hAnsi="Times New Roman" w:eastAsia="黑体" w:cs="Times New Roman"/>
            </w:rPr>
            <w:fldChar w:fldCharType="separate"/>
          </w:r>
          <w:r>
            <w:rPr>
              <w:rFonts w:hint="default" w:ascii="Times New Roman" w:hAnsi="Times New Roman" w:eastAsia="黑体" w:cs="Times New Roman"/>
            </w:rPr>
            <w:t>5</w:t>
          </w:r>
          <w:r>
            <w:rPr>
              <w:rFonts w:hint="default" w:ascii="Times New Roman" w:hAnsi="Times New Roman" w:eastAsia="黑体" w:cs="Times New Roman"/>
            </w:rPr>
            <w:fldChar w:fldCharType="end"/>
          </w:r>
          <w:r>
            <w:rPr>
              <w:rFonts w:hint="default" w:ascii="Times New Roman" w:hAnsi="Times New Roman" w:eastAsia="黑体" w:cs="Times New Roman"/>
              <w:color w:val="auto"/>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left="0" w:leftChars="0" w:firstLine="0" w:firstLineChars="0"/>
            <w:textAlignment w:val="auto"/>
            <w:rPr>
              <w:rFonts w:hint="default" w:ascii="Times New Roman" w:hAnsi="Times New Roman" w:eastAsia="黑体" w:cs="Times New Roman"/>
            </w:rPr>
          </w:pPr>
          <w:r>
            <w:rPr>
              <w:rFonts w:hint="default" w:ascii="Times New Roman" w:hAnsi="Times New Roman" w:eastAsia="黑体" w:cs="Times New Roman"/>
              <w:color w:val="auto"/>
              <w:szCs w:val="32"/>
            </w:rPr>
            <w:fldChar w:fldCharType="begin"/>
          </w:r>
          <w:r>
            <w:rPr>
              <w:rFonts w:hint="default" w:ascii="Times New Roman" w:hAnsi="Times New Roman" w:eastAsia="黑体" w:cs="Times New Roman"/>
              <w:szCs w:val="32"/>
            </w:rPr>
            <w:instrText xml:space="preserve"> HYPERLINK \l _Toc31194 </w:instrText>
          </w:r>
          <w:r>
            <w:rPr>
              <w:rFonts w:hint="default" w:ascii="Times New Roman" w:hAnsi="Times New Roman" w:eastAsia="黑体" w:cs="Times New Roman"/>
              <w:szCs w:val="32"/>
            </w:rPr>
            <w:fldChar w:fldCharType="separate"/>
          </w:r>
          <w:r>
            <w:rPr>
              <w:rFonts w:hint="default" w:ascii="Times New Roman" w:hAnsi="Times New Roman" w:eastAsia="黑体" w:cs="Times New Roman"/>
              <w:bCs w:val="0"/>
              <w:kern w:val="44"/>
              <w:szCs w:val="32"/>
              <w:lang w:val="en-US" w:eastAsia="zh-CN"/>
            </w:rPr>
            <w:t>三、 中央财政奖补资金支持内容</w:t>
          </w:r>
          <w:r>
            <w:rPr>
              <w:rFonts w:hint="default" w:ascii="Times New Roman" w:hAnsi="Times New Roman" w:eastAsia="黑体" w:cs="Times New Roman"/>
            </w:rPr>
            <w:tab/>
          </w:r>
          <w:r>
            <w:rPr>
              <w:rFonts w:hint="default" w:ascii="Times New Roman" w:hAnsi="Times New Roman" w:eastAsia="黑体" w:cs="Times New Roman"/>
            </w:rPr>
            <w:fldChar w:fldCharType="begin"/>
          </w:r>
          <w:r>
            <w:rPr>
              <w:rFonts w:hint="default" w:ascii="Times New Roman" w:hAnsi="Times New Roman" w:eastAsia="黑体" w:cs="Times New Roman"/>
            </w:rPr>
            <w:instrText xml:space="preserve"> PAGEREF _Toc31194 \h </w:instrText>
          </w:r>
          <w:r>
            <w:rPr>
              <w:rFonts w:hint="default" w:ascii="Times New Roman" w:hAnsi="Times New Roman" w:eastAsia="黑体" w:cs="Times New Roman"/>
            </w:rPr>
            <w:fldChar w:fldCharType="separate"/>
          </w:r>
          <w:r>
            <w:rPr>
              <w:rFonts w:hint="default" w:ascii="Times New Roman" w:hAnsi="Times New Roman" w:eastAsia="黑体" w:cs="Times New Roman"/>
            </w:rPr>
            <w:t>7</w:t>
          </w:r>
          <w:r>
            <w:rPr>
              <w:rFonts w:hint="default" w:ascii="Times New Roman" w:hAnsi="Times New Roman" w:eastAsia="黑体" w:cs="Times New Roman"/>
            </w:rPr>
            <w:fldChar w:fldCharType="end"/>
          </w:r>
          <w:r>
            <w:rPr>
              <w:rFonts w:hint="default" w:ascii="Times New Roman" w:hAnsi="Times New Roman" w:eastAsia="黑体" w:cs="Times New Roman"/>
              <w:color w:val="auto"/>
              <w:szCs w:val="32"/>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default" w:ascii="Times New Roman" w:hAnsi="Times New Roman" w:eastAsia="楷体" w:cs="Times New Roman"/>
              <w:color w:val="auto"/>
              <w:szCs w:val="32"/>
            </w:rPr>
            <w:fldChar w:fldCharType="begin"/>
          </w:r>
          <w:r>
            <w:rPr>
              <w:rFonts w:hint="default" w:ascii="Times New Roman" w:hAnsi="Times New Roman" w:eastAsia="楷体" w:cs="Times New Roman"/>
              <w:szCs w:val="32"/>
            </w:rPr>
            <w:instrText xml:space="preserve"> HYPERLINK \l _Toc32756 </w:instrText>
          </w:r>
          <w:r>
            <w:rPr>
              <w:rFonts w:hint="default" w:ascii="Times New Roman" w:hAnsi="Times New Roman" w:eastAsia="楷体" w:cs="Times New Roman"/>
              <w:szCs w:val="32"/>
            </w:rPr>
            <w:fldChar w:fldCharType="separate"/>
          </w:r>
          <w:r>
            <w:rPr>
              <w:rFonts w:hint="eastAsia" w:ascii="Times New Roman" w:hAnsi="Times New Roman" w:eastAsia="楷体" w:cs="Times New Roman"/>
              <w:bCs/>
              <w:lang w:val="en-US" w:eastAsia="zh-CN"/>
            </w:rPr>
            <w:t>（一）产业链供应链完善提升工程</w:t>
          </w:r>
          <w:r>
            <w:tab/>
          </w:r>
          <w:r>
            <w:fldChar w:fldCharType="begin"/>
          </w:r>
          <w:r>
            <w:instrText xml:space="preserve"> PAGEREF _Toc32756 \h </w:instrText>
          </w:r>
          <w:r>
            <w:fldChar w:fldCharType="separate"/>
          </w:r>
          <w:r>
            <w:t>7</w:t>
          </w:r>
          <w:r>
            <w:fldChar w:fldCharType="end"/>
          </w:r>
          <w:r>
            <w:rPr>
              <w:rFonts w:hint="default" w:ascii="Times New Roman" w:hAnsi="Times New Roman" w:eastAsia="楷体" w:cs="Times New Roman"/>
              <w:color w:val="auto"/>
              <w:szCs w:val="32"/>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default" w:ascii="Times New Roman" w:hAnsi="Times New Roman" w:eastAsia="楷体" w:cs="Times New Roman"/>
              <w:color w:val="auto"/>
              <w:szCs w:val="32"/>
            </w:rPr>
            <w:fldChar w:fldCharType="begin"/>
          </w:r>
          <w:r>
            <w:rPr>
              <w:rFonts w:hint="default" w:ascii="Times New Roman" w:hAnsi="Times New Roman" w:eastAsia="楷体" w:cs="Times New Roman"/>
              <w:szCs w:val="32"/>
            </w:rPr>
            <w:instrText xml:space="preserve"> HYPERLINK \l _Toc28833 </w:instrText>
          </w:r>
          <w:r>
            <w:rPr>
              <w:rFonts w:hint="default" w:ascii="Times New Roman" w:hAnsi="Times New Roman" w:eastAsia="楷体" w:cs="Times New Roman"/>
              <w:szCs w:val="32"/>
            </w:rPr>
            <w:fldChar w:fldCharType="separate"/>
          </w:r>
          <w:r>
            <w:rPr>
              <w:rFonts w:hint="eastAsia" w:ascii="Times New Roman" w:hAnsi="Times New Roman" w:eastAsia="楷体" w:cs="Times New Roman"/>
              <w:bCs/>
              <w:lang w:val="en-US" w:eastAsia="zh-CN"/>
            </w:rPr>
            <w:t>（</w:t>
          </w:r>
          <w:r>
            <w:rPr>
              <w:rFonts w:hint="eastAsia" w:eastAsia="楷体" w:cs="Times New Roman"/>
              <w:bCs/>
              <w:lang w:val="en-US" w:eastAsia="zh-CN"/>
            </w:rPr>
            <w:t>二</w:t>
          </w:r>
          <w:r>
            <w:rPr>
              <w:rFonts w:hint="eastAsia" w:ascii="Times New Roman" w:hAnsi="Times New Roman" w:eastAsia="楷体" w:cs="Times New Roman"/>
              <w:bCs/>
              <w:lang w:val="en-US" w:eastAsia="zh-CN"/>
            </w:rPr>
            <w:t>）科技创新平台建设工程</w:t>
          </w:r>
          <w:r>
            <w:tab/>
          </w:r>
          <w:r>
            <w:fldChar w:fldCharType="begin"/>
          </w:r>
          <w:r>
            <w:instrText xml:space="preserve"> PAGEREF _Toc28833 \h </w:instrText>
          </w:r>
          <w:r>
            <w:fldChar w:fldCharType="separate"/>
          </w:r>
          <w:r>
            <w:t>8</w:t>
          </w:r>
          <w:r>
            <w:fldChar w:fldCharType="end"/>
          </w:r>
          <w:r>
            <w:rPr>
              <w:rFonts w:hint="default" w:ascii="Times New Roman" w:hAnsi="Times New Roman" w:eastAsia="楷体" w:cs="Times New Roman"/>
              <w:color w:val="auto"/>
              <w:szCs w:val="32"/>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default" w:ascii="Times New Roman" w:hAnsi="Times New Roman" w:eastAsia="楷体" w:cs="Times New Roman"/>
              <w:color w:val="auto"/>
              <w:szCs w:val="32"/>
            </w:rPr>
            <w:fldChar w:fldCharType="begin"/>
          </w:r>
          <w:r>
            <w:rPr>
              <w:rFonts w:hint="default" w:ascii="Times New Roman" w:hAnsi="Times New Roman" w:eastAsia="楷体" w:cs="Times New Roman"/>
              <w:szCs w:val="32"/>
            </w:rPr>
            <w:instrText xml:space="preserve"> HYPERLINK \l _Toc6107 </w:instrText>
          </w:r>
          <w:r>
            <w:rPr>
              <w:rFonts w:hint="default" w:ascii="Times New Roman" w:hAnsi="Times New Roman" w:eastAsia="楷体" w:cs="Times New Roman"/>
              <w:szCs w:val="32"/>
            </w:rPr>
            <w:fldChar w:fldCharType="separate"/>
          </w:r>
          <w:r>
            <w:rPr>
              <w:rFonts w:hint="eastAsia" w:ascii="Times New Roman" w:hAnsi="Times New Roman" w:eastAsia="楷体" w:cs="Times New Roman"/>
              <w:bCs/>
              <w:lang w:val="en-US" w:eastAsia="zh-CN"/>
            </w:rPr>
            <w:t>（</w:t>
          </w:r>
          <w:r>
            <w:rPr>
              <w:rFonts w:hint="eastAsia" w:eastAsia="楷体" w:cs="Times New Roman"/>
              <w:bCs/>
              <w:lang w:val="en-US" w:eastAsia="zh-CN"/>
            </w:rPr>
            <w:t>三</w:t>
          </w:r>
          <w:r>
            <w:rPr>
              <w:rFonts w:hint="eastAsia" w:ascii="Times New Roman" w:hAnsi="Times New Roman" w:eastAsia="楷体" w:cs="Times New Roman"/>
              <w:bCs/>
              <w:lang w:val="en-US" w:eastAsia="zh-CN"/>
            </w:rPr>
            <w:t>）</w:t>
          </w:r>
          <w:r>
            <w:rPr>
              <w:rFonts w:hint="eastAsia" w:eastAsia="楷体" w:cs="Times New Roman"/>
              <w:bCs/>
              <w:lang w:val="en-US" w:eastAsia="zh-CN"/>
            </w:rPr>
            <w:t>联农带农增收</w:t>
          </w:r>
          <w:r>
            <w:rPr>
              <w:rFonts w:hint="eastAsia" w:ascii="Times New Roman" w:hAnsi="Times New Roman" w:eastAsia="楷体" w:cs="Times New Roman"/>
              <w:bCs/>
              <w:lang w:val="en-US" w:eastAsia="zh-CN"/>
            </w:rPr>
            <w:t>工程</w:t>
          </w:r>
          <w:r>
            <w:tab/>
          </w:r>
          <w:r>
            <w:fldChar w:fldCharType="begin"/>
          </w:r>
          <w:r>
            <w:instrText xml:space="preserve"> PAGEREF _Toc6107 \h </w:instrText>
          </w:r>
          <w:r>
            <w:fldChar w:fldCharType="separate"/>
          </w:r>
          <w:r>
            <w:t>11</w:t>
          </w:r>
          <w:r>
            <w:fldChar w:fldCharType="end"/>
          </w:r>
          <w:r>
            <w:rPr>
              <w:rFonts w:hint="default" w:ascii="Times New Roman" w:hAnsi="Times New Roman" w:eastAsia="楷体" w:cs="Times New Roman"/>
              <w:color w:val="auto"/>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left="0" w:leftChars="0" w:firstLine="0" w:firstLineChars="0"/>
            <w:textAlignment w:val="auto"/>
            <w:rPr>
              <w:rFonts w:hint="default" w:ascii="Times New Roman" w:hAnsi="Times New Roman" w:eastAsia="黑体" w:cs="Times New Roman"/>
            </w:rPr>
          </w:pPr>
          <w:r>
            <w:rPr>
              <w:rFonts w:hint="default" w:ascii="Times New Roman" w:hAnsi="Times New Roman" w:eastAsia="黑体" w:cs="Times New Roman"/>
              <w:color w:val="auto"/>
              <w:szCs w:val="32"/>
            </w:rPr>
            <w:fldChar w:fldCharType="begin"/>
          </w:r>
          <w:r>
            <w:rPr>
              <w:rFonts w:hint="default" w:ascii="Times New Roman" w:hAnsi="Times New Roman" w:eastAsia="黑体" w:cs="Times New Roman"/>
              <w:szCs w:val="32"/>
            </w:rPr>
            <w:instrText xml:space="preserve"> HYPERLINK \l _Toc28639 </w:instrText>
          </w:r>
          <w:r>
            <w:rPr>
              <w:rFonts w:hint="default" w:ascii="Times New Roman" w:hAnsi="Times New Roman" w:eastAsia="黑体" w:cs="Times New Roman"/>
              <w:szCs w:val="32"/>
            </w:rPr>
            <w:fldChar w:fldCharType="separate"/>
          </w:r>
          <w:r>
            <w:rPr>
              <w:rFonts w:hint="default" w:ascii="Times New Roman" w:hAnsi="Times New Roman" w:eastAsia="黑体" w:cs="Times New Roman"/>
              <w:bCs w:val="0"/>
              <w:kern w:val="44"/>
              <w:szCs w:val="32"/>
              <w:lang w:val="en-US" w:eastAsia="zh-CN"/>
            </w:rPr>
            <w:t>四、 中央财政奖补资金年度投资计划</w:t>
          </w:r>
          <w:r>
            <w:rPr>
              <w:rFonts w:hint="default" w:ascii="Times New Roman" w:hAnsi="Times New Roman" w:eastAsia="黑体" w:cs="Times New Roman"/>
            </w:rPr>
            <w:tab/>
          </w:r>
          <w:r>
            <w:rPr>
              <w:rFonts w:hint="default" w:ascii="Times New Roman" w:hAnsi="Times New Roman" w:eastAsia="黑体" w:cs="Times New Roman"/>
            </w:rPr>
            <w:fldChar w:fldCharType="begin"/>
          </w:r>
          <w:r>
            <w:rPr>
              <w:rFonts w:hint="default" w:ascii="Times New Roman" w:hAnsi="Times New Roman" w:eastAsia="黑体" w:cs="Times New Roman"/>
            </w:rPr>
            <w:instrText xml:space="preserve"> PAGEREF _Toc28639 \h </w:instrText>
          </w:r>
          <w:r>
            <w:rPr>
              <w:rFonts w:hint="default" w:ascii="Times New Roman" w:hAnsi="Times New Roman" w:eastAsia="黑体" w:cs="Times New Roman"/>
            </w:rPr>
            <w:fldChar w:fldCharType="separate"/>
          </w:r>
          <w:r>
            <w:rPr>
              <w:rFonts w:hint="default" w:ascii="Times New Roman" w:hAnsi="Times New Roman" w:eastAsia="黑体" w:cs="Times New Roman"/>
            </w:rPr>
            <w:t>12</w:t>
          </w:r>
          <w:r>
            <w:rPr>
              <w:rFonts w:hint="default" w:ascii="Times New Roman" w:hAnsi="Times New Roman" w:eastAsia="黑体" w:cs="Times New Roman"/>
            </w:rPr>
            <w:fldChar w:fldCharType="end"/>
          </w:r>
          <w:r>
            <w:rPr>
              <w:rFonts w:hint="default" w:ascii="Times New Roman" w:hAnsi="Times New Roman" w:eastAsia="黑体" w:cs="Times New Roman"/>
              <w:color w:val="auto"/>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left="0" w:leftChars="0" w:firstLine="0" w:firstLineChars="0"/>
            <w:textAlignment w:val="auto"/>
            <w:rPr>
              <w:rFonts w:hint="default" w:ascii="Times New Roman" w:hAnsi="Times New Roman" w:eastAsia="黑体" w:cs="Times New Roman"/>
            </w:rPr>
          </w:pPr>
          <w:r>
            <w:rPr>
              <w:rFonts w:hint="default" w:ascii="Times New Roman" w:hAnsi="Times New Roman" w:eastAsia="黑体" w:cs="Times New Roman"/>
              <w:color w:val="auto"/>
              <w:szCs w:val="32"/>
            </w:rPr>
            <w:fldChar w:fldCharType="begin"/>
          </w:r>
          <w:r>
            <w:rPr>
              <w:rFonts w:hint="default" w:ascii="Times New Roman" w:hAnsi="Times New Roman" w:eastAsia="黑体" w:cs="Times New Roman"/>
              <w:szCs w:val="32"/>
            </w:rPr>
            <w:instrText xml:space="preserve"> HYPERLINK \l _Toc4718 </w:instrText>
          </w:r>
          <w:r>
            <w:rPr>
              <w:rFonts w:hint="default" w:ascii="Times New Roman" w:hAnsi="Times New Roman" w:eastAsia="黑体" w:cs="Times New Roman"/>
              <w:szCs w:val="32"/>
            </w:rPr>
            <w:fldChar w:fldCharType="separate"/>
          </w:r>
          <w:r>
            <w:rPr>
              <w:rFonts w:hint="default" w:ascii="Times New Roman" w:hAnsi="Times New Roman" w:eastAsia="黑体" w:cs="Times New Roman"/>
              <w:bCs w:val="0"/>
              <w:kern w:val="44"/>
              <w:szCs w:val="32"/>
              <w:lang w:val="en-US" w:eastAsia="zh-CN"/>
            </w:rPr>
            <w:t>五、预期效益分析</w:t>
          </w:r>
          <w:r>
            <w:rPr>
              <w:rFonts w:hint="default" w:ascii="Times New Roman" w:hAnsi="Times New Roman" w:eastAsia="黑体" w:cs="Times New Roman"/>
            </w:rPr>
            <w:tab/>
          </w:r>
          <w:r>
            <w:rPr>
              <w:rFonts w:hint="default" w:ascii="Times New Roman" w:hAnsi="Times New Roman" w:eastAsia="黑体" w:cs="Times New Roman"/>
            </w:rPr>
            <w:fldChar w:fldCharType="begin"/>
          </w:r>
          <w:r>
            <w:rPr>
              <w:rFonts w:hint="default" w:ascii="Times New Roman" w:hAnsi="Times New Roman" w:eastAsia="黑体" w:cs="Times New Roman"/>
            </w:rPr>
            <w:instrText xml:space="preserve"> PAGEREF _Toc4718 \h </w:instrText>
          </w:r>
          <w:r>
            <w:rPr>
              <w:rFonts w:hint="default" w:ascii="Times New Roman" w:hAnsi="Times New Roman" w:eastAsia="黑体" w:cs="Times New Roman"/>
            </w:rPr>
            <w:fldChar w:fldCharType="separate"/>
          </w:r>
          <w:r>
            <w:rPr>
              <w:rFonts w:hint="default" w:ascii="Times New Roman" w:hAnsi="Times New Roman" w:eastAsia="黑体" w:cs="Times New Roman"/>
            </w:rPr>
            <w:t>17</w:t>
          </w:r>
          <w:r>
            <w:rPr>
              <w:rFonts w:hint="default" w:ascii="Times New Roman" w:hAnsi="Times New Roman" w:eastAsia="黑体" w:cs="Times New Roman"/>
            </w:rPr>
            <w:fldChar w:fldCharType="end"/>
          </w:r>
          <w:r>
            <w:rPr>
              <w:rFonts w:hint="default" w:ascii="Times New Roman" w:hAnsi="Times New Roman" w:eastAsia="黑体" w:cs="Times New Roman"/>
              <w:color w:val="auto"/>
              <w:szCs w:val="32"/>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default" w:ascii="Times New Roman" w:hAnsi="Times New Roman" w:eastAsia="楷体" w:cs="Times New Roman"/>
              <w:color w:val="auto"/>
              <w:szCs w:val="32"/>
            </w:rPr>
            <w:fldChar w:fldCharType="begin"/>
          </w:r>
          <w:r>
            <w:rPr>
              <w:rFonts w:hint="default" w:ascii="Times New Roman" w:hAnsi="Times New Roman" w:eastAsia="楷体" w:cs="Times New Roman"/>
              <w:szCs w:val="32"/>
            </w:rPr>
            <w:instrText xml:space="preserve"> HYPERLINK \l _Toc12253 </w:instrText>
          </w:r>
          <w:r>
            <w:rPr>
              <w:rFonts w:hint="default" w:ascii="Times New Roman" w:hAnsi="Times New Roman" w:eastAsia="楷体" w:cs="Times New Roman"/>
              <w:szCs w:val="32"/>
            </w:rPr>
            <w:fldChar w:fldCharType="separate"/>
          </w:r>
          <w:r>
            <w:rPr>
              <w:rFonts w:hint="eastAsia" w:ascii="Times New Roman" w:hAnsi="Times New Roman" w:eastAsia="楷体" w:cs="Times New Roman"/>
              <w:bCs/>
              <w:lang w:val="en-US" w:eastAsia="zh-CN"/>
            </w:rPr>
            <w:t>（一）</w:t>
          </w:r>
          <w:r>
            <w:rPr>
              <w:rFonts w:hint="eastAsia" w:eastAsia="楷体" w:cs="Times New Roman"/>
              <w:bCs/>
              <w:lang w:val="en-US" w:eastAsia="zh-CN"/>
            </w:rPr>
            <w:t>经济效益</w:t>
          </w:r>
          <w:r>
            <w:tab/>
          </w:r>
          <w:r>
            <w:fldChar w:fldCharType="begin"/>
          </w:r>
          <w:r>
            <w:instrText xml:space="preserve"> PAGEREF _Toc12253 \h </w:instrText>
          </w:r>
          <w:r>
            <w:fldChar w:fldCharType="separate"/>
          </w:r>
          <w:r>
            <w:t>17</w:t>
          </w:r>
          <w:r>
            <w:fldChar w:fldCharType="end"/>
          </w:r>
          <w:r>
            <w:rPr>
              <w:rFonts w:hint="default" w:ascii="Times New Roman" w:hAnsi="Times New Roman" w:eastAsia="楷体" w:cs="Times New Roman"/>
              <w:color w:val="auto"/>
              <w:szCs w:val="32"/>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default" w:ascii="Times New Roman" w:hAnsi="Times New Roman" w:eastAsia="楷体" w:cs="Times New Roman"/>
              <w:color w:val="auto"/>
              <w:szCs w:val="32"/>
            </w:rPr>
            <w:fldChar w:fldCharType="begin"/>
          </w:r>
          <w:r>
            <w:rPr>
              <w:rFonts w:hint="default" w:ascii="Times New Roman" w:hAnsi="Times New Roman" w:eastAsia="楷体" w:cs="Times New Roman"/>
              <w:szCs w:val="32"/>
            </w:rPr>
            <w:instrText xml:space="preserve"> HYPERLINK \l _Toc31088 </w:instrText>
          </w:r>
          <w:r>
            <w:rPr>
              <w:rFonts w:hint="default" w:ascii="Times New Roman" w:hAnsi="Times New Roman" w:eastAsia="楷体" w:cs="Times New Roman"/>
              <w:szCs w:val="32"/>
            </w:rPr>
            <w:fldChar w:fldCharType="separate"/>
          </w:r>
          <w:r>
            <w:rPr>
              <w:rFonts w:hint="eastAsia" w:ascii="Times New Roman" w:hAnsi="Times New Roman" w:eastAsia="楷体" w:cs="Times New Roman"/>
              <w:bCs/>
              <w:lang w:val="en-US" w:eastAsia="zh-CN"/>
            </w:rPr>
            <w:t>（二） 社会效益</w:t>
          </w:r>
          <w:r>
            <w:tab/>
          </w:r>
          <w:r>
            <w:fldChar w:fldCharType="begin"/>
          </w:r>
          <w:r>
            <w:instrText xml:space="preserve"> PAGEREF _Toc31088 \h </w:instrText>
          </w:r>
          <w:r>
            <w:fldChar w:fldCharType="separate"/>
          </w:r>
          <w:r>
            <w:t>17</w:t>
          </w:r>
          <w:r>
            <w:fldChar w:fldCharType="end"/>
          </w:r>
          <w:r>
            <w:rPr>
              <w:rFonts w:hint="default" w:ascii="Times New Roman" w:hAnsi="Times New Roman" w:eastAsia="楷体" w:cs="Times New Roman"/>
              <w:color w:val="auto"/>
              <w:szCs w:val="32"/>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default" w:ascii="Times New Roman" w:hAnsi="Times New Roman" w:eastAsia="楷体" w:cs="Times New Roman"/>
              <w:color w:val="auto"/>
              <w:szCs w:val="32"/>
            </w:rPr>
            <w:fldChar w:fldCharType="begin"/>
          </w:r>
          <w:r>
            <w:rPr>
              <w:rFonts w:hint="default" w:ascii="Times New Roman" w:hAnsi="Times New Roman" w:eastAsia="楷体" w:cs="Times New Roman"/>
              <w:szCs w:val="32"/>
            </w:rPr>
            <w:instrText xml:space="preserve"> HYPERLINK \l _Toc25476 </w:instrText>
          </w:r>
          <w:r>
            <w:rPr>
              <w:rFonts w:hint="default" w:ascii="Times New Roman" w:hAnsi="Times New Roman" w:eastAsia="楷体" w:cs="Times New Roman"/>
              <w:szCs w:val="32"/>
            </w:rPr>
            <w:fldChar w:fldCharType="separate"/>
          </w:r>
          <w:r>
            <w:rPr>
              <w:rFonts w:hint="eastAsia" w:ascii="Times New Roman" w:hAnsi="Times New Roman" w:eastAsia="楷体" w:cs="Times New Roman"/>
              <w:bCs/>
              <w:lang w:val="en-US" w:eastAsia="zh-CN"/>
            </w:rPr>
            <w:t>（三）生态效益</w:t>
          </w:r>
          <w:r>
            <w:tab/>
          </w:r>
          <w:r>
            <w:fldChar w:fldCharType="begin"/>
          </w:r>
          <w:r>
            <w:instrText xml:space="preserve"> PAGEREF _Toc25476 \h </w:instrText>
          </w:r>
          <w:r>
            <w:fldChar w:fldCharType="separate"/>
          </w:r>
          <w:r>
            <w:t>18</w:t>
          </w:r>
          <w:r>
            <w:fldChar w:fldCharType="end"/>
          </w:r>
          <w:r>
            <w:rPr>
              <w:rFonts w:hint="default" w:ascii="Times New Roman" w:hAnsi="Times New Roman" w:eastAsia="楷体" w:cs="Times New Roman"/>
              <w:color w:val="auto"/>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left="0" w:leftChars="0" w:firstLine="0" w:firstLineChars="0"/>
            <w:textAlignment w:val="auto"/>
            <w:rPr>
              <w:rFonts w:hint="default" w:ascii="Times New Roman" w:hAnsi="Times New Roman" w:eastAsia="黑体" w:cs="Times New Roman"/>
            </w:rPr>
          </w:pPr>
          <w:r>
            <w:rPr>
              <w:rFonts w:hint="default" w:ascii="Times New Roman" w:hAnsi="Times New Roman" w:eastAsia="黑体" w:cs="Times New Roman"/>
              <w:color w:val="auto"/>
              <w:szCs w:val="32"/>
            </w:rPr>
            <w:fldChar w:fldCharType="begin"/>
          </w:r>
          <w:r>
            <w:rPr>
              <w:rFonts w:hint="default" w:ascii="Times New Roman" w:hAnsi="Times New Roman" w:eastAsia="黑体" w:cs="Times New Roman"/>
              <w:szCs w:val="32"/>
            </w:rPr>
            <w:instrText xml:space="preserve"> HYPERLINK \l _Toc2956 </w:instrText>
          </w:r>
          <w:r>
            <w:rPr>
              <w:rFonts w:hint="default" w:ascii="Times New Roman" w:hAnsi="Times New Roman" w:eastAsia="黑体" w:cs="Times New Roman"/>
              <w:szCs w:val="32"/>
            </w:rPr>
            <w:fldChar w:fldCharType="separate"/>
          </w:r>
          <w:r>
            <w:rPr>
              <w:rFonts w:hint="default" w:ascii="Times New Roman" w:hAnsi="Times New Roman" w:eastAsia="黑体" w:cs="Times New Roman"/>
              <w:bCs w:val="0"/>
              <w:kern w:val="44"/>
              <w:szCs w:val="32"/>
              <w:lang w:val="en-US" w:eastAsia="zh-CN"/>
            </w:rPr>
            <w:t>六、绩效管理措施</w:t>
          </w:r>
          <w:r>
            <w:rPr>
              <w:rFonts w:hint="default" w:ascii="Times New Roman" w:hAnsi="Times New Roman" w:eastAsia="黑体" w:cs="Times New Roman"/>
            </w:rPr>
            <w:tab/>
          </w:r>
          <w:r>
            <w:rPr>
              <w:rFonts w:hint="default" w:ascii="Times New Roman" w:hAnsi="Times New Roman" w:eastAsia="黑体" w:cs="Times New Roman"/>
            </w:rPr>
            <w:fldChar w:fldCharType="begin"/>
          </w:r>
          <w:r>
            <w:rPr>
              <w:rFonts w:hint="default" w:ascii="Times New Roman" w:hAnsi="Times New Roman" w:eastAsia="黑体" w:cs="Times New Roman"/>
            </w:rPr>
            <w:instrText xml:space="preserve"> PAGEREF _Toc2956 \h </w:instrText>
          </w:r>
          <w:r>
            <w:rPr>
              <w:rFonts w:hint="default" w:ascii="Times New Roman" w:hAnsi="Times New Roman" w:eastAsia="黑体" w:cs="Times New Roman"/>
            </w:rPr>
            <w:fldChar w:fldCharType="separate"/>
          </w:r>
          <w:r>
            <w:rPr>
              <w:rFonts w:hint="default" w:ascii="Times New Roman" w:hAnsi="Times New Roman" w:eastAsia="黑体" w:cs="Times New Roman"/>
            </w:rPr>
            <w:t>18</w:t>
          </w:r>
          <w:r>
            <w:rPr>
              <w:rFonts w:hint="default" w:ascii="Times New Roman" w:hAnsi="Times New Roman" w:eastAsia="黑体" w:cs="Times New Roman"/>
            </w:rPr>
            <w:fldChar w:fldCharType="end"/>
          </w:r>
          <w:r>
            <w:rPr>
              <w:rFonts w:hint="default" w:ascii="Times New Roman" w:hAnsi="Times New Roman" w:eastAsia="黑体" w:cs="Times New Roman"/>
              <w:color w:val="auto"/>
              <w:szCs w:val="32"/>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default" w:ascii="Times New Roman" w:hAnsi="Times New Roman" w:eastAsia="楷体" w:cs="Times New Roman"/>
              <w:color w:val="auto"/>
              <w:szCs w:val="32"/>
            </w:rPr>
            <w:fldChar w:fldCharType="begin"/>
          </w:r>
          <w:r>
            <w:rPr>
              <w:rFonts w:hint="default" w:ascii="Times New Roman" w:hAnsi="Times New Roman" w:eastAsia="楷体" w:cs="Times New Roman"/>
              <w:szCs w:val="32"/>
            </w:rPr>
            <w:instrText xml:space="preserve"> HYPERLINK \l _Toc28827 </w:instrText>
          </w:r>
          <w:r>
            <w:rPr>
              <w:rFonts w:hint="default" w:ascii="Times New Roman" w:hAnsi="Times New Roman" w:eastAsia="楷体" w:cs="Times New Roman"/>
              <w:szCs w:val="32"/>
            </w:rPr>
            <w:fldChar w:fldCharType="separate"/>
          </w:r>
          <w:r>
            <w:rPr>
              <w:rFonts w:hint="eastAsia" w:ascii="Times New Roman" w:hAnsi="Times New Roman" w:eastAsia="楷体" w:cs="Times New Roman"/>
              <w:bCs/>
              <w:lang w:val="en-US" w:eastAsia="zh-CN"/>
            </w:rPr>
            <w:t>（一）</w:t>
          </w:r>
          <w:r>
            <w:rPr>
              <w:rFonts w:hint="eastAsia" w:eastAsia="楷体" w:cs="Times New Roman"/>
              <w:bCs/>
              <w:lang w:val="en-US" w:eastAsia="zh-CN"/>
            </w:rPr>
            <w:t>使用监管办法</w:t>
          </w:r>
          <w:r>
            <w:tab/>
          </w:r>
          <w:r>
            <w:fldChar w:fldCharType="begin"/>
          </w:r>
          <w:r>
            <w:instrText xml:space="preserve"> PAGEREF _Toc28827 \h </w:instrText>
          </w:r>
          <w:r>
            <w:fldChar w:fldCharType="separate"/>
          </w:r>
          <w:r>
            <w:t>18</w:t>
          </w:r>
          <w:r>
            <w:fldChar w:fldCharType="end"/>
          </w:r>
          <w:r>
            <w:rPr>
              <w:rFonts w:hint="default" w:ascii="Times New Roman" w:hAnsi="Times New Roman" w:eastAsia="楷体" w:cs="Times New Roman"/>
              <w:color w:val="auto"/>
              <w:szCs w:val="32"/>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default" w:ascii="Times New Roman" w:hAnsi="Times New Roman" w:eastAsia="楷体" w:cs="Times New Roman"/>
              <w:color w:val="auto"/>
              <w:szCs w:val="32"/>
            </w:rPr>
            <w:fldChar w:fldCharType="begin"/>
          </w:r>
          <w:r>
            <w:rPr>
              <w:rFonts w:hint="default" w:ascii="Times New Roman" w:hAnsi="Times New Roman" w:eastAsia="楷体" w:cs="Times New Roman"/>
              <w:szCs w:val="32"/>
            </w:rPr>
            <w:instrText xml:space="preserve"> HYPERLINK \l _Toc14890 </w:instrText>
          </w:r>
          <w:r>
            <w:rPr>
              <w:rFonts w:hint="default" w:ascii="Times New Roman" w:hAnsi="Times New Roman" w:eastAsia="楷体" w:cs="Times New Roman"/>
              <w:szCs w:val="32"/>
            </w:rPr>
            <w:fldChar w:fldCharType="separate"/>
          </w:r>
          <w:r>
            <w:rPr>
              <w:rFonts w:hint="eastAsia" w:ascii="Times New Roman" w:hAnsi="Times New Roman" w:eastAsia="楷体" w:cs="Times New Roman"/>
              <w:bCs/>
              <w:lang w:val="en-US" w:eastAsia="zh-CN"/>
            </w:rPr>
            <w:t>（二）绩效评价</w:t>
          </w:r>
          <w:r>
            <w:tab/>
          </w:r>
          <w:r>
            <w:fldChar w:fldCharType="begin"/>
          </w:r>
          <w:r>
            <w:instrText xml:space="preserve"> PAGEREF _Toc14890 \h </w:instrText>
          </w:r>
          <w:r>
            <w:fldChar w:fldCharType="separate"/>
          </w:r>
          <w:r>
            <w:t>19</w:t>
          </w:r>
          <w:r>
            <w:fldChar w:fldCharType="end"/>
          </w:r>
          <w:r>
            <w:rPr>
              <w:rFonts w:hint="default" w:ascii="Times New Roman" w:hAnsi="Times New Roman" w:eastAsia="楷体" w:cs="Times New Roman"/>
              <w:color w:val="auto"/>
              <w:szCs w:val="32"/>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default" w:ascii="Times New Roman" w:hAnsi="Times New Roman" w:eastAsia="楷体" w:cs="Times New Roman"/>
              <w:color w:val="auto"/>
              <w:szCs w:val="32"/>
            </w:rPr>
            <w:fldChar w:fldCharType="begin"/>
          </w:r>
          <w:r>
            <w:rPr>
              <w:rFonts w:hint="default" w:ascii="Times New Roman" w:hAnsi="Times New Roman" w:eastAsia="楷体" w:cs="Times New Roman"/>
              <w:szCs w:val="32"/>
            </w:rPr>
            <w:instrText xml:space="preserve"> HYPERLINK \l _Toc694 </w:instrText>
          </w:r>
          <w:r>
            <w:rPr>
              <w:rFonts w:hint="default" w:ascii="Times New Roman" w:hAnsi="Times New Roman" w:eastAsia="楷体" w:cs="Times New Roman"/>
              <w:szCs w:val="32"/>
            </w:rPr>
            <w:fldChar w:fldCharType="separate"/>
          </w:r>
          <w:r>
            <w:rPr>
              <w:rFonts w:hint="eastAsia" w:ascii="Times New Roman" w:hAnsi="Times New Roman" w:eastAsia="楷体" w:cs="Times New Roman"/>
              <w:bCs/>
              <w:lang w:val="en-US" w:eastAsia="zh-CN"/>
            </w:rPr>
            <w:t>（三）中央财政奖补资金使用管理办法</w:t>
          </w:r>
          <w:r>
            <w:tab/>
          </w:r>
          <w:r>
            <w:fldChar w:fldCharType="begin"/>
          </w:r>
          <w:r>
            <w:instrText xml:space="preserve"> PAGEREF _Toc694 \h </w:instrText>
          </w:r>
          <w:r>
            <w:fldChar w:fldCharType="separate"/>
          </w:r>
          <w:r>
            <w:t>20</w:t>
          </w:r>
          <w:r>
            <w:fldChar w:fldCharType="end"/>
          </w:r>
          <w:r>
            <w:rPr>
              <w:rFonts w:hint="default" w:ascii="Times New Roman" w:hAnsi="Times New Roman" w:eastAsia="楷体" w:cs="Times New Roman"/>
              <w:color w:val="auto"/>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left="0" w:leftChars="0" w:firstLine="0" w:firstLineChars="0"/>
            <w:textAlignment w:val="auto"/>
            <w:rPr>
              <w:rFonts w:hint="default" w:ascii="Times New Roman" w:hAnsi="Times New Roman" w:eastAsia="黑体" w:cs="Times New Roman"/>
            </w:rPr>
          </w:pPr>
          <w:r>
            <w:rPr>
              <w:rFonts w:hint="default" w:ascii="Times New Roman" w:hAnsi="Times New Roman" w:eastAsia="黑体" w:cs="Times New Roman"/>
              <w:color w:val="auto"/>
              <w:szCs w:val="32"/>
            </w:rPr>
            <w:fldChar w:fldCharType="begin"/>
          </w:r>
          <w:r>
            <w:rPr>
              <w:rFonts w:hint="default" w:ascii="Times New Roman" w:hAnsi="Times New Roman" w:eastAsia="黑体" w:cs="Times New Roman"/>
              <w:szCs w:val="32"/>
            </w:rPr>
            <w:instrText xml:space="preserve"> HYPERLINK \l _Toc19223 </w:instrText>
          </w:r>
          <w:r>
            <w:rPr>
              <w:rFonts w:hint="default" w:ascii="Times New Roman" w:hAnsi="Times New Roman" w:eastAsia="黑体" w:cs="Times New Roman"/>
              <w:szCs w:val="32"/>
            </w:rPr>
            <w:fldChar w:fldCharType="separate"/>
          </w:r>
          <w:r>
            <w:rPr>
              <w:rFonts w:hint="default" w:ascii="Times New Roman" w:hAnsi="Times New Roman" w:eastAsia="黑体" w:cs="Times New Roman"/>
              <w:bCs w:val="0"/>
              <w:kern w:val="44"/>
              <w:szCs w:val="32"/>
              <w:lang w:val="en-US" w:eastAsia="zh-CN"/>
            </w:rPr>
            <w:t>七、 保障措施</w:t>
          </w:r>
          <w:r>
            <w:rPr>
              <w:rFonts w:hint="default" w:ascii="Times New Roman" w:hAnsi="Times New Roman" w:eastAsia="黑体" w:cs="Times New Roman"/>
            </w:rPr>
            <w:tab/>
          </w:r>
          <w:r>
            <w:rPr>
              <w:rFonts w:hint="default" w:ascii="Times New Roman" w:hAnsi="Times New Roman" w:eastAsia="黑体" w:cs="Times New Roman"/>
            </w:rPr>
            <w:fldChar w:fldCharType="begin"/>
          </w:r>
          <w:r>
            <w:rPr>
              <w:rFonts w:hint="default" w:ascii="Times New Roman" w:hAnsi="Times New Roman" w:eastAsia="黑体" w:cs="Times New Roman"/>
            </w:rPr>
            <w:instrText xml:space="preserve"> PAGEREF _Toc19223 \h </w:instrText>
          </w:r>
          <w:r>
            <w:rPr>
              <w:rFonts w:hint="default" w:ascii="Times New Roman" w:hAnsi="Times New Roman" w:eastAsia="黑体" w:cs="Times New Roman"/>
            </w:rPr>
            <w:fldChar w:fldCharType="separate"/>
          </w:r>
          <w:r>
            <w:rPr>
              <w:rFonts w:hint="default" w:ascii="Times New Roman" w:hAnsi="Times New Roman" w:eastAsia="黑体" w:cs="Times New Roman"/>
            </w:rPr>
            <w:t>20</w:t>
          </w:r>
          <w:r>
            <w:rPr>
              <w:rFonts w:hint="default" w:ascii="Times New Roman" w:hAnsi="Times New Roman" w:eastAsia="黑体" w:cs="Times New Roman"/>
            </w:rPr>
            <w:fldChar w:fldCharType="end"/>
          </w:r>
          <w:r>
            <w:rPr>
              <w:rFonts w:hint="default" w:ascii="Times New Roman" w:hAnsi="Times New Roman" w:eastAsia="黑体" w:cs="Times New Roman"/>
              <w:color w:val="auto"/>
              <w:szCs w:val="32"/>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default" w:ascii="Times New Roman" w:hAnsi="Times New Roman" w:eastAsia="楷体" w:cs="Times New Roman"/>
              <w:color w:val="auto"/>
              <w:szCs w:val="32"/>
            </w:rPr>
            <w:fldChar w:fldCharType="begin"/>
          </w:r>
          <w:r>
            <w:rPr>
              <w:rFonts w:hint="default" w:ascii="Times New Roman" w:hAnsi="Times New Roman" w:eastAsia="楷体" w:cs="Times New Roman"/>
              <w:szCs w:val="32"/>
            </w:rPr>
            <w:instrText xml:space="preserve"> HYPERLINK \l _Toc5843 </w:instrText>
          </w:r>
          <w:r>
            <w:rPr>
              <w:rFonts w:hint="default" w:ascii="Times New Roman" w:hAnsi="Times New Roman" w:eastAsia="楷体" w:cs="Times New Roman"/>
              <w:szCs w:val="32"/>
            </w:rPr>
            <w:fldChar w:fldCharType="separate"/>
          </w:r>
          <w:r>
            <w:rPr>
              <w:rFonts w:hint="eastAsia" w:ascii="Times New Roman" w:hAnsi="Times New Roman" w:eastAsia="楷体" w:cs="Times New Roman"/>
              <w:bCs/>
              <w:lang w:val="en-US" w:eastAsia="zh-CN"/>
            </w:rPr>
            <w:t>（一） 组织领导</w:t>
          </w:r>
          <w:r>
            <w:tab/>
          </w:r>
          <w:r>
            <w:fldChar w:fldCharType="begin"/>
          </w:r>
          <w:r>
            <w:instrText xml:space="preserve"> PAGEREF _Toc5843 \h </w:instrText>
          </w:r>
          <w:r>
            <w:fldChar w:fldCharType="separate"/>
          </w:r>
          <w:r>
            <w:t>20</w:t>
          </w:r>
          <w:r>
            <w:fldChar w:fldCharType="end"/>
          </w:r>
          <w:r>
            <w:rPr>
              <w:rFonts w:hint="default" w:ascii="Times New Roman" w:hAnsi="Times New Roman" w:eastAsia="楷体" w:cs="Times New Roman"/>
              <w:color w:val="auto"/>
              <w:szCs w:val="32"/>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default" w:ascii="Times New Roman" w:hAnsi="Times New Roman" w:eastAsia="楷体" w:cs="Times New Roman"/>
              <w:color w:val="auto"/>
              <w:szCs w:val="32"/>
            </w:rPr>
            <w:fldChar w:fldCharType="begin"/>
          </w:r>
          <w:r>
            <w:rPr>
              <w:rFonts w:hint="default" w:ascii="Times New Roman" w:hAnsi="Times New Roman" w:eastAsia="楷体" w:cs="Times New Roman"/>
              <w:szCs w:val="32"/>
            </w:rPr>
            <w:instrText xml:space="preserve"> HYPERLINK \l _Toc25653 </w:instrText>
          </w:r>
          <w:r>
            <w:rPr>
              <w:rFonts w:hint="default" w:ascii="Times New Roman" w:hAnsi="Times New Roman" w:eastAsia="楷体" w:cs="Times New Roman"/>
              <w:szCs w:val="32"/>
            </w:rPr>
            <w:fldChar w:fldCharType="separate"/>
          </w:r>
          <w:r>
            <w:rPr>
              <w:rFonts w:hint="eastAsia" w:ascii="Times New Roman" w:hAnsi="Times New Roman" w:eastAsia="楷体" w:cs="Times New Roman"/>
              <w:bCs/>
              <w:lang w:val="en-US" w:eastAsia="zh-CN"/>
            </w:rPr>
            <w:t>（二） 项目管理</w:t>
          </w:r>
          <w:r>
            <w:tab/>
          </w:r>
          <w:r>
            <w:fldChar w:fldCharType="begin"/>
          </w:r>
          <w:r>
            <w:instrText xml:space="preserve"> PAGEREF _Toc25653 \h </w:instrText>
          </w:r>
          <w:r>
            <w:fldChar w:fldCharType="separate"/>
          </w:r>
          <w:r>
            <w:t>21</w:t>
          </w:r>
          <w:r>
            <w:fldChar w:fldCharType="end"/>
          </w:r>
          <w:r>
            <w:rPr>
              <w:rFonts w:hint="default" w:ascii="Times New Roman" w:hAnsi="Times New Roman" w:eastAsia="楷体" w:cs="Times New Roman"/>
              <w:color w:val="auto"/>
              <w:szCs w:val="32"/>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default" w:ascii="Times New Roman" w:hAnsi="Times New Roman" w:eastAsia="楷体" w:cs="Times New Roman"/>
              <w:color w:val="auto"/>
              <w:szCs w:val="32"/>
            </w:rPr>
            <w:fldChar w:fldCharType="begin"/>
          </w:r>
          <w:r>
            <w:rPr>
              <w:rFonts w:hint="default" w:ascii="Times New Roman" w:hAnsi="Times New Roman" w:eastAsia="楷体" w:cs="Times New Roman"/>
              <w:szCs w:val="32"/>
            </w:rPr>
            <w:instrText xml:space="preserve"> HYPERLINK \l _Toc19646 </w:instrText>
          </w:r>
          <w:r>
            <w:rPr>
              <w:rFonts w:hint="default" w:ascii="Times New Roman" w:hAnsi="Times New Roman" w:eastAsia="楷体" w:cs="Times New Roman"/>
              <w:szCs w:val="32"/>
            </w:rPr>
            <w:fldChar w:fldCharType="separate"/>
          </w:r>
          <w:r>
            <w:rPr>
              <w:rFonts w:hint="eastAsia" w:ascii="Times New Roman" w:hAnsi="Times New Roman" w:eastAsia="楷体" w:cs="Times New Roman"/>
              <w:bCs/>
              <w:lang w:val="en-US" w:eastAsia="zh-CN"/>
            </w:rPr>
            <w:t>（三） 风险防控</w:t>
          </w:r>
          <w:r>
            <w:tab/>
          </w:r>
          <w:r>
            <w:fldChar w:fldCharType="begin"/>
          </w:r>
          <w:r>
            <w:instrText xml:space="preserve"> PAGEREF _Toc19646 \h </w:instrText>
          </w:r>
          <w:r>
            <w:fldChar w:fldCharType="separate"/>
          </w:r>
          <w:r>
            <w:t>22</w:t>
          </w:r>
          <w:r>
            <w:fldChar w:fldCharType="end"/>
          </w:r>
          <w:r>
            <w:rPr>
              <w:rFonts w:hint="default" w:ascii="Times New Roman" w:hAnsi="Times New Roman" w:eastAsia="楷体" w:cs="Times New Roman"/>
              <w:color w:val="auto"/>
              <w:szCs w:val="32"/>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default" w:ascii="Times New Roman" w:hAnsi="Times New Roman" w:eastAsia="楷体" w:cs="Times New Roman"/>
              <w:color w:val="auto"/>
              <w:szCs w:val="32"/>
            </w:rPr>
            <w:fldChar w:fldCharType="begin"/>
          </w:r>
          <w:r>
            <w:rPr>
              <w:rFonts w:hint="default" w:ascii="Times New Roman" w:hAnsi="Times New Roman" w:eastAsia="楷体" w:cs="Times New Roman"/>
              <w:szCs w:val="32"/>
            </w:rPr>
            <w:instrText xml:space="preserve"> HYPERLINK \l _Toc14790 </w:instrText>
          </w:r>
          <w:r>
            <w:rPr>
              <w:rFonts w:hint="default" w:ascii="Times New Roman" w:hAnsi="Times New Roman" w:eastAsia="楷体" w:cs="Times New Roman"/>
              <w:szCs w:val="32"/>
            </w:rPr>
            <w:fldChar w:fldCharType="separate"/>
          </w:r>
          <w:r>
            <w:rPr>
              <w:rFonts w:hint="eastAsia" w:ascii="Times New Roman" w:hAnsi="Times New Roman" w:eastAsia="楷体" w:cs="Times New Roman"/>
              <w:bCs/>
              <w:lang w:val="en-US" w:eastAsia="zh-CN"/>
            </w:rPr>
            <w:t>（四） 信息公开</w:t>
          </w:r>
          <w:r>
            <w:tab/>
          </w:r>
          <w:r>
            <w:fldChar w:fldCharType="begin"/>
          </w:r>
          <w:r>
            <w:instrText xml:space="preserve"> PAGEREF _Toc14790 \h </w:instrText>
          </w:r>
          <w:r>
            <w:fldChar w:fldCharType="separate"/>
          </w:r>
          <w:r>
            <w:t>23</w:t>
          </w:r>
          <w:r>
            <w:fldChar w:fldCharType="end"/>
          </w:r>
          <w:r>
            <w:rPr>
              <w:rFonts w:hint="default" w:ascii="Times New Roman" w:hAnsi="Times New Roman" w:eastAsia="楷体" w:cs="Times New Roman"/>
              <w:color w:val="auto"/>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left="640" w:leftChars="200" w:firstLine="0" w:firstLineChars="0"/>
            <w:textAlignment w:val="auto"/>
          </w:pPr>
          <w:r>
            <w:rPr>
              <w:rFonts w:hint="default" w:ascii="Times New Roman" w:hAnsi="Times New Roman" w:eastAsia="楷体" w:cs="Times New Roman"/>
              <w:color w:val="auto"/>
              <w:szCs w:val="32"/>
            </w:rPr>
            <w:fldChar w:fldCharType="begin"/>
          </w:r>
          <w:r>
            <w:rPr>
              <w:rFonts w:hint="default" w:ascii="Times New Roman" w:hAnsi="Times New Roman" w:eastAsia="楷体" w:cs="Times New Roman"/>
              <w:szCs w:val="32"/>
            </w:rPr>
            <w:instrText xml:space="preserve"> HYPERLINK \l _Toc29872 </w:instrText>
          </w:r>
          <w:r>
            <w:rPr>
              <w:rFonts w:hint="default" w:ascii="Times New Roman" w:hAnsi="Times New Roman" w:eastAsia="楷体" w:cs="Times New Roman"/>
              <w:szCs w:val="32"/>
            </w:rPr>
            <w:fldChar w:fldCharType="separate"/>
          </w:r>
          <w:r>
            <w:rPr>
              <w:rFonts w:hint="eastAsia" w:ascii="Times New Roman" w:hAnsi="Times New Roman" w:cs="Times New Roman"/>
              <w:bCs w:val="0"/>
              <w:kern w:val="44"/>
              <w:szCs w:val="32"/>
              <w:lang w:val="en-US" w:eastAsia="zh-CN"/>
            </w:rPr>
            <w:t>附：县级人民政府批复同意的现代农业产业园中央财政奖补资金使用管理办法</w:t>
          </w:r>
          <w:r>
            <w:tab/>
          </w:r>
          <w:r>
            <w:fldChar w:fldCharType="begin"/>
          </w:r>
          <w:r>
            <w:instrText xml:space="preserve"> PAGEREF _Toc29872 \h </w:instrText>
          </w:r>
          <w:r>
            <w:fldChar w:fldCharType="separate"/>
          </w:r>
          <w:r>
            <w:t>24</w:t>
          </w:r>
          <w:r>
            <w:fldChar w:fldCharType="end"/>
          </w:r>
          <w:r>
            <w:rPr>
              <w:rFonts w:hint="default" w:ascii="Times New Roman" w:hAnsi="Times New Roman" w:eastAsia="楷体" w:cs="Times New Roman"/>
              <w:color w:val="auto"/>
              <w:szCs w:val="32"/>
            </w:rPr>
            <w:fldChar w:fldCharType="end"/>
          </w:r>
        </w:p>
        <w:p>
          <w:pPr>
            <w:pStyle w:val="16"/>
            <w:keepNext w:val="0"/>
            <w:keepLines w:val="0"/>
            <w:pageBreakBefore w:val="0"/>
            <w:widowControl w:val="0"/>
            <w:kinsoku/>
            <w:wordWrap/>
            <w:overflowPunct/>
            <w:topLinePunct w:val="0"/>
            <w:autoSpaceDE/>
            <w:autoSpaceDN/>
            <w:bidi w:val="0"/>
            <w:adjustRightInd/>
            <w:snapToGrid/>
            <w:spacing w:after="0"/>
            <w:ind w:left="0" w:leftChars="0"/>
            <w:textAlignment w:val="auto"/>
            <w:rPr>
              <w:rFonts w:hint="eastAsia"/>
              <w:color w:val="auto"/>
            </w:rPr>
            <w:sectPr>
              <w:footerReference r:id="rId5" w:type="default"/>
              <w:pgSz w:w="11906" w:h="16838"/>
              <w:pgMar w:top="1440" w:right="1800" w:bottom="1440" w:left="1800" w:header="851" w:footer="992" w:gutter="0"/>
              <w:pgNumType w:fmt="upperRoman" w:start="1"/>
              <w:cols w:space="425" w:num="1"/>
              <w:docGrid w:type="lines" w:linePitch="312" w:charSpace="0"/>
            </w:sectPr>
          </w:pPr>
          <w:r>
            <w:rPr>
              <w:rFonts w:hint="default" w:ascii="Times New Roman" w:hAnsi="Times New Roman" w:eastAsia="楷体" w:cs="Times New Roman"/>
              <w:color w:val="auto"/>
              <w:szCs w:val="32"/>
            </w:rPr>
            <w:fldChar w:fldCharType="end"/>
          </w:r>
        </w:p>
      </w:sdtContent>
    </w:sdt>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为加快培育德惠肉鸡生态圈与产业链，实现肉鸡集聚化发展，推动现代农业产业园高效优质发展，推动德惠经济结构调整和产业转型升级，</w:t>
      </w:r>
      <w:r>
        <w:rPr>
          <w:rFonts w:hint="eastAsia" w:ascii="仿宋" w:hAnsi="仿宋" w:cs="仿宋"/>
          <w:color w:val="auto"/>
          <w:sz w:val="32"/>
          <w:szCs w:val="32"/>
          <w:lang w:val="en-US" w:eastAsia="zh-CN"/>
        </w:rPr>
        <w:t>切实使用国家现代农业产业园奖励资金，推动德惠市肉鸡产业园高质量发展，</w:t>
      </w:r>
      <w:r>
        <w:rPr>
          <w:rFonts w:hint="eastAsia" w:ascii="仿宋" w:hAnsi="仿宋" w:eastAsia="仿宋" w:cs="仿宋"/>
          <w:color w:val="auto"/>
          <w:sz w:val="32"/>
          <w:szCs w:val="32"/>
        </w:rPr>
        <w:t>根据</w:t>
      </w:r>
      <w:r>
        <w:rPr>
          <w:rFonts w:hint="eastAsia" w:ascii="仿宋" w:hAnsi="仿宋" w:cs="仿宋"/>
          <w:color w:val="auto"/>
          <w:kern w:val="0"/>
          <w:sz w:val="32"/>
          <w:szCs w:val="32"/>
          <w:lang w:val="en-US" w:eastAsia="zh-CN"/>
        </w:rPr>
        <w:t>农业农村部 财政部办公厅</w:t>
      </w:r>
      <w:r>
        <w:rPr>
          <w:rFonts w:hint="eastAsia" w:ascii="仿宋" w:hAnsi="仿宋" w:eastAsia="仿宋" w:cs="仿宋"/>
          <w:color w:val="auto"/>
          <w:kern w:val="0"/>
          <w:sz w:val="32"/>
          <w:szCs w:val="32"/>
        </w:rPr>
        <w:t>《</w:t>
      </w:r>
      <w:r>
        <w:rPr>
          <w:rFonts w:hint="eastAsia" w:ascii="仿宋" w:hAnsi="仿宋" w:cs="仿宋"/>
          <w:color w:val="auto"/>
          <w:kern w:val="0"/>
          <w:sz w:val="32"/>
          <w:szCs w:val="32"/>
          <w:lang w:val="en-US" w:eastAsia="zh-CN"/>
        </w:rPr>
        <w:t>关于做</w:t>
      </w:r>
      <w:r>
        <w:rPr>
          <w:rFonts w:hint="default" w:ascii="Times New Roman" w:hAnsi="Times New Roman" w:cs="Times New Roman"/>
          <w:color w:val="auto"/>
          <w:kern w:val="0"/>
          <w:sz w:val="32"/>
          <w:szCs w:val="32"/>
          <w:lang w:val="en-US" w:eastAsia="zh-CN"/>
        </w:rPr>
        <w:t>好2024年农业产业融合发展项目申报工作的通知</w:t>
      </w:r>
      <w:r>
        <w:rPr>
          <w:rFonts w:hint="default" w:ascii="Times New Roman" w:hAnsi="Times New Roman" w:eastAsia="仿宋" w:cs="Times New Roman"/>
          <w:color w:val="auto"/>
          <w:kern w:val="0"/>
          <w:sz w:val="32"/>
          <w:szCs w:val="32"/>
        </w:rPr>
        <w:t>》（吉</w:t>
      </w:r>
      <w:r>
        <w:rPr>
          <w:rFonts w:hint="default" w:ascii="Times New Roman" w:hAnsi="Times New Roman" w:cs="Times New Roman"/>
          <w:color w:val="auto"/>
          <w:kern w:val="0"/>
          <w:sz w:val="32"/>
          <w:szCs w:val="32"/>
          <w:lang w:val="en-US" w:eastAsia="zh-CN"/>
        </w:rPr>
        <w:t>办计财</w:t>
      </w:r>
      <w:r>
        <w:rPr>
          <w:rFonts w:hint="default" w:ascii="Times New Roman" w:hAnsi="Times New Roman" w:eastAsia="仿宋_GB2312" w:cs="Times New Roman"/>
          <w:i w:val="0"/>
          <w:iCs w:val="0"/>
          <w:caps w:val="0"/>
          <w:color w:val="auto"/>
          <w:spacing w:val="0"/>
          <w:sz w:val="31"/>
          <w:szCs w:val="31"/>
          <w:shd w:val="clear" w:fill="FFFFFF"/>
        </w:rPr>
        <w:t>〔</w:t>
      </w:r>
      <w:r>
        <w:rPr>
          <w:rFonts w:hint="default" w:ascii="Times New Roman" w:hAnsi="Times New Roman" w:eastAsia="仿宋_GB2312" w:cs="Times New Roman"/>
          <w:i w:val="0"/>
          <w:iCs w:val="0"/>
          <w:caps w:val="0"/>
          <w:color w:val="auto"/>
          <w:spacing w:val="0"/>
          <w:sz w:val="31"/>
          <w:szCs w:val="31"/>
          <w:shd w:val="clear" w:fill="FFFFFF"/>
          <w:lang w:val="en-US" w:eastAsia="zh-CN"/>
        </w:rPr>
        <w:t>2024</w:t>
      </w:r>
      <w:r>
        <w:rPr>
          <w:rFonts w:hint="default" w:ascii="Times New Roman" w:hAnsi="Times New Roman" w:eastAsia="仿宋_GB2312" w:cs="Times New Roman"/>
          <w:i w:val="0"/>
          <w:iCs w:val="0"/>
          <w:caps w:val="0"/>
          <w:color w:val="auto"/>
          <w:spacing w:val="0"/>
          <w:sz w:val="31"/>
          <w:szCs w:val="31"/>
          <w:shd w:val="clear" w:fill="FFFFFF"/>
        </w:rPr>
        <w:t>〕</w:t>
      </w:r>
      <w:r>
        <w:rPr>
          <w:rFonts w:hint="default" w:ascii="Times New Roman" w:hAnsi="Times New Roman" w:cs="Times New Roman"/>
          <w:color w:val="auto"/>
          <w:kern w:val="0"/>
          <w:sz w:val="32"/>
          <w:szCs w:val="32"/>
          <w:lang w:val="en-US" w:eastAsia="zh-CN"/>
        </w:rPr>
        <w:t>3</w:t>
      </w:r>
      <w:r>
        <w:rPr>
          <w:rFonts w:hint="default" w:ascii="Times New Roman" w:hAnsi="Times New Roman" w:eastAsia="仿宋" w:cs="Times New Roman"/>
          <w:color w:val="auto"/>
          <w:kern w:val="0"/>
          <w:sz w:val="32"/>
          <w:szCs w:val="32"/>
        </w:rPr>
        <w:t>号）</w:t>
      </w:r>
      <w:r>
        <w:rPr>
          <w:rFonts w:hint="eastAsia" w:ascii="仿宋" w:hAnsi="仿宋" w:eastAsia="仿宋" w:cs="仿宋"/>
          <w:color w:val="auto"/>
          <w:sz w:val="32"/>
          <w:szCs w:val="32"/>
        </w:rPr>
        <w:t>要求，特制定本方案。</w:t>
      </w:r>
    </w:p>
    <w:p>
      <w:pPr>
        <w:pStyle w:val="4"/>
        <w:pageBreakBefore w:val="0"/>
        <w:widowControl w:val="0"/>
        <w:kinsoku/>
        <w:wordWrap/>
        <w:overflowPunct/>
        <w:topLinePunct w:val="0"/>
        <w:autoSpaceDE/>
        <w:autoSpaceDN/>
        <w:bidi w:val="0"/>
        <w:adjustRightInd w:val="0"/>
        <w:snapToGrid w:val="0"/>
        <w:spacing w:before="0" w:beforeLines="0" w:after="0" w:line="360" w:lineRule="auto"/>
        <w:ind w:firstLine="640" w:firstLineChars="200"/>
        <w:jc w:val="left"/>
        <w:textAlignment w:val="auto"/>
        <w:rPr>
          <w:rFonts w:hint="default" w:ascii="Times New Roman" w:hAnsi="Times New Roman" w:cs="Times New Roman"/>
          <w:b w:val="0"/>
          <w:bCs w:val="0"/>
          <w:color w:val="auto"/>
          <w:kern w:val="44"/>
          <w:sz w:val="32"/>
          <w:szCs w:val="32"/>
          <w:lang w:val="en-US" w:eastAsia="zh-CN"/>
        </w:rPr>
      </w:pPr>
      <w:bookmarkStart w:id="11" w:name="_Toc6348"/>
      <w:r>
        <w:rPr>
          <w:rFonts w:hint="eastAsia" w:cs="Times New Roman"/>
          <w:b w:val="0"/>
          <w:bCs w:val="0"/>
          <w:color w:val="auto"/>
          <w:kern w:val="44"/>
          <w:sz w:val="32"/>
          <w:szCs w:val="32"/>
          <w:lang w:val="en-US" w:eastAsia="zh-CN"/>
        </w:rPr>
        <w:t>一、</w:t>
      </w:r>
      <w:r>
        <w:rPr>
          <w:rFonts w:hint="eastAsia" w:ascii="Times New Roman" w:hAnsi="Times New Roman" w:cs="Times New Roman"/>
          <w:b w:val="0"/>
          <w:bCs w:val="0"/>
          <w:color w:val="auto"/>
          <w:kern w:val="44"/>
          <w:sz w:val="32"/>
          <w:szCs w:val="32"/>
          <w:lang w:val="en-US" w:eastAsia="zh-CN"/>
        </w:rPr>
        <w:t>产业园</w:t>
      </w:r>
      <w:bookmarkEnd w:id="9"/>
      <w:bookmarkEnd w:id="10"/>
      <w:r>
        <w:rPr>
          <w:rFonts w:hint="eastAsia" w:cs="Times New Roman"/>
          <w:b w:val="0"/>
          <w:bCs w:val="0"/>
          <w:color w:val="auto"/>
          <w:kern w:val="44"/>
          <w:sz w:val="32"/>
          <w:szCs w:val="32"/>
          <w:lang w:val="en-US" w:eastAsia="zh-CN"/>
        </w:rPr>
        <w:t>基本情况</w:t>
      </w:r>
      <w:bookmarkEnd w:id="11"/>
    </w:p>
    <w:p>
      <w:pPr>
        <w:pStyle w:val="5"/>
        <w:pageBreakBefore w:val="0"/>
        <w:kinsoku/>
        <w:wordWrap/>
        <w:overflowPunct/>
        <w:topLinePunct w:val="0"/>
        <w:autoSpaceDE/>
        <w:autoSpaceDN/>
        <w:bidi w:val="0"/>
        <w:adjustRightInd w:val="0"/>
        <w:snapToGrid w:val="0"/>
        <w:spacing w:before="0" w:beforeLines="-2147483648" w:after="0" w:afterLines="-2147483648" w:line="360" w:lineRule="auto"/>
        <w:ind w:firstLine="643" w:firstLineChars="200"/>
        <w:textAlignment w:val="auto"/>
        <w:rPr>
          <w:rFonts w:hint="eastAsia" w:eastAsia="楷体" w:cs="Times New Roman"/>
          <w:bCs/>
          <w:color w:val="auto"/>
          <w:lang w:val="en-US" w:eastAsia="zh-CN"/>
        </w:rPr>
      </w:pPr>
      <w:bookmarkStart w:id="12" w:name="_Toc19599"/>
      <w:bookmarkStart w:id="13" w:name="_Toc1144750085"/>
      <w:r>
        <w:rPr>
          <w:rFonts w:hint="eastAsia" w:eastAsia="楷体" w:cs="Times New Roman"/>
          <w:bCs/>
          <w:color w:val="auto"/>
          <w:lang w:val="en-US" w:eastAsia="zh-CN"/>
        </w:rPr>
        <w:t>（一）产业园名称</w:t>
      </w:r>
      <w:bookmarkEnd w:id="12"/>
    </w:p>
    <w:p>
      <w:pPr>
        <w:pageBreakBefore w:val="0"/>
        <w:kinsoku/>
        <w:wordWrap/>
        <w:overflowPunct/>
        <w:topLinePunct w:val="0"/>
        <w:bidi w:val="0"/>
        <w:snapToGrid w:val="0"/>
        <w:spacing w:line="360" w:lineRule="auto"/>
        <w:ind w:firstLine="640"/>
        <w:rPr>
          <w:rFonts w:hint="eastAsia" w:ascii="仿宋" w:hAnsi="仿宋"/>
          <w:color w:val="auto"/>
          <w:lang w:val="en-US" w:eastAsia="zh-CN"/>
        </w:rPr>
      </w:pPr>
      <w:r>
        <w:rPr>
          <w:rFonts w:hint="eastAsia" w:ascii="仿宋" w:hAnsi="仿宋"/>
          <w:color w:val="auto"/>
          <w:lang w:val="en-US" w:eastAsia="zh-CN"/>
        </w:rPr>
        <w:t>吉林省德惠市国家现代农业产业园。</w:t>
      </w:r>
    </w:p>
    <w:p>
      <w:pPr>
        <w:pStyle w:val="5"/>
        <w:pageBreakBefore w:val="0"/>
        <w:kinsoku/>
        <w:wordWrap/>
        <w:overflowPunct/>
        <w:topLinePunct w:val="0"/>
        <w:autoSpaceDE/>
        <w:autoSpaceDN/>
        <w:bidi w:val="0"/>
        <w:adjustRightInd w:val="0"/>
        <w:snapToGrid w:val="0"/>
        <w:spacing w:before="0" w:beforeLines="-2147483648" w:after="0" w:afterLines="-2147483648" w:line="360" w:lineRule="auto"/>
        <w:ind w:firstLine="643" w:firstLineChars="200"/>
        <w:textAlignment w:val="auto"/>
        <w:rPr>
          <w:rFonts w:hint="default" w:ascii="Times New Roman" w:hAnsi="Times New Roman" w:eastAsia="楷体" w:cs="Times New Roman"/>
          <w:bCs/>
          <w:color w:val="auto"/>
          <w:lang w:val="en-US" w:eastAsia="zh-CN"/>
        </w:rPr>
      </w:pPr>
      <w:bookmarkStart w:id="14" w:name="_Toc14752"/>
      <w:r>
        <w:rPr>
          <w:rFonts w:hint="eastAsia" w:eastAsia="楷体" w:cs="Times New Roman"/>
          <w:bCs/>
          <w:color w:val="auto"/>
          <w:lang w:val="en-US" w:eastAsia="zh-CN"/>
        </w:rPr>
        <w:t>（二）</w:t>
      </w:r>
      <w:r>
        <w:rPr>
          <w:rFonts w:hint="eastAsia" w:ascii="Times New Roman" w:hAnsi="Times New Roman" w:eastAsia="楷体" w:cs="Times New Roman"/>
          <w:bCs/>
          <w:color w:val="auto"/>
          <w:lang w:val="en-US" w:eastAsia="zh-CN"/>
        </w:rPr>
        <w:t>产业园建设范围</w:t>
      </w:r>
      <w:bookmarkEnd w:id="13"/>
      <w:bookmarkEnd w:id="14"/>
    </w:p>
    <w:p>
      <w:pPr>
        <w:pageBreakBefore w:val="0"/>
        <w:kinsoku/>
        <w:wordWrap/>
        <w:overflowPunct/>
        <w:topLinePunct w:val="0"/>
        <w:bidi w:val="0"/>
        <w:snapToGrid w:val="0"/>
        <w:spacing w:line="360" w:lineRule="auto"/>
        <w:ind w:firstLine="640"/>
        <w:rPr>
          <w:rFonts w:hint="eastAsia" w:ascii="仿宋" w:hAnsi="仿宋"/>
          <w:color w:val="auto"/>
        </w:rPr>
      </w:pPr>
      <w:r>
        <w:rPr>
          <w:rFonts w:hint="eastAsia" w:ascii="仿宋" w:hAnsi="仿宋"/>
          <w:color w:val="auto"/>
        </w:rPr>
        <w:t>吉林省德惠市现代农业产业园建设范围包括边岗乡、夏家店</w:t>
      </w:r>
      <w:r>
        <w:rPr>
          <w:rFonts w:hint="default" w:ascii="Times New Roman" w:hAnsi="Times New Roman" w:cs="Times New Roman"/>
          <w:color w:val="auto"/>
        </w:rPr>
        <w:t>街道、布海镇、惠发街道、郭家镇、同太乡、大青咀镇、天台镇</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朱城子镇、米沙子镇10</w:t>
      </w:r>
      <w:r>
        <w:rPr>
          <w:rFonts w:hint="default" w:ascii="Times New Roman" w:hAnsi="Times New Roman" w:cs="Times New Roman"/>
          <w:color w:val="auto"/>
        </w:rPr>
        <w:t>个乡（镇、街道）</w:t>
      </w:r>
      <w:r>
        <w:rPr>
          <w:rFonts w:hint="default" w:ascii="Times New Roman" w:hAnsi="Times New Roman" w:cs="Times New Roman"/>
          <w:color w:val="auto"/>
          <w:lang w:val="en-US" w:eastAsia="zh-CN"/>
        </w:rPr>
        <w:t>166个行政村</w:t>
      </w:r>
      <w:r>
        <w:rPr>
          <w:rFonts w:hint="default" w:ascii="Times New Roman" w:hAnsi="Times New Roman" w:cs="Times New Roman"/>
          <w:color w:val="auto"/>
        </w:rPr>
        <w:t>，总规划面积</w:t>
      </w:r>
      <w:r>
        <w:rPr>
          <w:rFonts w:hint="default" w:ascii="Times New Roman" w:hAnsi="Times New Roman" w:cs="Times New Roman"/>
          <w:color w:val="auto"/>
          <w:lang w:val="en-US" w:eastAsia="zh-CN"/>
        </w:rPr>
        <w:t>1773.04</w:t>
      </w:r>
      <w:r>
        <w:rPr>
          <w:rFonts w:hint="default" w:ascii="Times New Roman" w:hAnsi="Times New Roman" w:cs="Times New Roman"/>
          <w:color w:val="auto"/>
        </w:rPr>
        <w:t>平方公里，</w:t>
      </w:r>
      <w:r>
        <w:rPr>
          <w:rFonts w:hint="default" w:ascii="Times New Roman" w:hAnsi="Times New Roman" w:cs="Times New Roman"/>
          <w:color w:val="auto"/>
          <w:lang w:val="en-US" w:eastAsia="zh-CN"/>
        </w:rPr>
        <w:t>占德惠市总面积的53.37%。</w:t>
      </w:r>
      <w:r>
        <w:rPr>
          <w:rFonts w:hint="default" w:ascii="Times New Roman" w:hAnsi="Times New Roman" w:cs="Times New Roman"/>
          <w:color w:val="auto"/>
        </w:rPr>
        <w:t>总</w:t>
      </w:r>
      <w:r>
        <w:rPr>
          <w:rFonts w:hint="eastAsia" w:ascii="仿宋" w:hAnsi="仿宋"/>
          <w:color w:val="auto"/>
        </w:rPr>
        <w:t>体遵循“一</w:t>
      </w:r>
      <w:r>
        <w:rPr>
          <w:rFonts w:hint="eastAsia" w:ascii="仿宋" w:hAnsi="仿宋"/>
          <w:color w:val="auto"/>
          <w:lang w:val="en-US" w:eastAsia="zh-CN"/>
        </w:rPr>
        <w:t>带</w:t>
      </w:r>
      <w:r>
        <w:rPr>
          <w:rFonts w:hint="eastAsia" w:ascii="仿宋" w:hAnsi="仿宋"/>
          <w:color w:val="auto"/>
        </w:rPr>
        <w:t>、一区、多基地”的空间发展格局，涵盖了生产、加工、物流、研发、示范、服务等功能板块。</w:t>
      </w:r>
    </w:p>
    <w:p>
      <w:pPr>
        <w:pStyle w:val="5"/>
        <w:pageBreakBefore w:val="0"/>
        <w:kinsoku/>
        <w:wordWrap/>
        <w:overflowPunct/>
        <w:topLinePunct w:val="0"/>
        <w:autoSpaceDE/>
        <w:autoSpaceDN/>
        <w:bidi w:val="0"/>
        <w:adjustRightInd w:val="0"/>
        <w:snapToGrid w:val="0"/>
        <w:spacing w:before="0" w:beforeLines="-2147483648" w:after="0" w:afterLines="-2147483648" w:line="360" w:lineRule="auto"/>
        <w:ind w:firstLine="643" w:firstLineChars="200"/>
        <w:textAlignment w:val="auto"/>
        <w:rPr>
          <w:rFonts w:hint="default" w:ascii="Times New Roman" w:hAnsi="Times New Roman" w:eastAsia="楷体" w:cs="Times New Roman"/>
          <w:bCs/>
          <w:color w:val="auto"/>
          <w:lang w:val="en-US" w:eastAsia="zh-CN"/>
        </w:rPr>
      </w:pPr>
      <w:bookmarkStart w:id="15" w:name="_Toc12049"/>
      <w:bookmarkStart w:id="16" w:name="_Toc508685122"/>
      <w:r>
        <w:rPr>
          <w:rFonts w:hint="eastAsia" w:eastAsia="楷体" w:cs="Times New Roman"/>
          <w:bCs/>
          <w:color w:val="auto"/>
          <w:lang w:val="en-US" w:eastAsia="zh-CN"/>
        </w:rPr>
        <w:t>（三）</w:t>
      </w:r>
      <w:r>
        <w:rPr>
          <w:rFonts w:hint="eastAsia" w:ascii="Times New Roman" w:hAnsi="Times New Roman" w:eastAsia="楷体" w:cs="Times New Roman"/>
          <w:bCs/>
          <w:color w:val="auto"/>
          <w:lang w:val="en-US" w:eastAsia="zh-CN"/>
        </w:rPr>
        <w:t>产业园基本情况</w:t>
      </w:r>
      <w:bookmarkEnd w:id="15"/>
      <w:bookmarkEnd w:id="16"/>
    </w:p>
    <w:p>
      <w:pPr>
        <w:pageBreakBefore w:val="0"/>
        <w:widowControl w:val="0"/>
        <w:kinsoku/>
        <w:wordWrap/>
        <w:overflowPunct/>
        <w:topLinePunct w:val="0"/>
        <w:autoSpaceDE/>
        <w:autoSpaceDN/>
        <w:bidi w:val="0"/>
        <w:adjustRightInd w:val="0"/>
        <w:snapToGrid w:val="0"/>
        <w:ind w:firstLine="640"/>
        <w:textAlignment w:val="auto"/>
        <w:rPr>
          <w:rFonts w:hint="default" w:ascii="Times New Roman" w:hAnsi="Times New Roman" w:cs="Times New Roman"/>
          <w:color w:val="auto"/>
          <w:szCs w:val="32"/>
        </w:rPr>
      </w:pPr>
      <w:r>
        <w:rPr>
          <w:rFonts w:hint="eastAsia"/>
          <w:b/>
          <w:bCs/>
          <w:color w:val="auto"/>
          <w:lang w:val="en-US" w:eastAsia="zh-CN"/>
        </w:rPr>
        <w:t>土地资源高效利用。</w:t>
      </w:r>
      <w:r>
        <w:rPr>
          <w:rFonts w:hint="default" w:ascii="Times New Roman" w:hAnsi="Times New Roman" w:cs="Times New Roman"/>
          <w:color w:val="auto"/>
          <w:szCs w:val="32"/>
        </w:rPr>
        <w:t>产业园土地总面积</w:t>
      </w:r>
      <w:r>
        <w:rPr>
          <w:rFonts w:hint="eastAsia" w:cs="Times New Roman"/>
          <w:color w:val="auto"/>
          <w:szCs w:val="32"/>
          <w:lang w:val="en-US" w:eastAsia="zh-CN"/>
        </w:rPr>
        <w:t>2659560</w:t>
      </w:r>
      <w:r>
        <w:rPr>
          <w:rFonts w:hint="default" w:ascii="Times New Roman" w:hAnsi="Times New Roman" w:cs="Times New Roman"/>
          <w:color w:val="auto"/>
          <w:szCs w:val="32"/>
        </w:rPr>
        <w:t>亩。其中，耕地面积</w:t>
      </w:r>
      <w:r>
        <w:rPr>
          <w:rFonts w:hint="eastAsia" w:cs="Times New Roman"/>
          <w:color w:val="auto"/>
          <w:szCs w:val="32"/>
          <w:lang w:val="en-US" w:eastAsia="zh-CN"/>
        </w:rPr>
        <w:t>2194024.46</w:t>
      </w:r>
      <w:r>
        <w:rPr>
          <w:rFonts w:hint="default" w:ascii="Times New Roman" w:hAnsi="Times New Roman" w:cs="Times New Roman"/>
          <w:color w:val="auto"/>
          <w:szCs w:val="32"/>
        </w:rPr>
        <w:t>亩，占产业园总面积</w:t>
      </w:r>
      <w:r>
        <w:rPr>
          <w:rFonts w:hint="eastAsia" w:cs="Times New Roman"/>
          <w:color w:val="auto"/>
          <w:szCs w:val="32"/>
          <w:lang w:val="en-US" w:eastAsia="zh-CN"/>
        </w:rPr>
        <w:t>82.50</w:t>
      </w:r>
      <w:r>
        <w:rPr>
          <w:rFonts w:hint="default" w:ascii="Times New Roman" w:hAnsi="Times New Roman" w:cs="Times New Roman"/>
          <w:color w:val="auto"/>
          <w:szCs w:val="32"/>
        </w:rPr>
        <w:t>%；林地</w:t>
      </w:r>
      <w:r>
        <w:rPr>
          <w:rFonts w:hint="eastAsia" w:cs="Times New Roman"/>
          <w:color w:val="auto"/>
          <w:szCs w:val="32"/>
          <w:lang w:val="en-US" w:eastAsia="zh-CN"/>
        </w:rPr>
        <w:t>86625.5</w:t>
      </w:r>
      <w:r>
        <w:rPr>
          <w:rFonts w:hint="default" w:ascii="Times New Roman" w:hAnsi="Times New Roman" w:cs="Times New Roman"/>
          <w:color w:val="auto"/>
          <w:szCs w:val="32"/>
        </w:rPr>
        <w:t>亩，占产业园总面积</w:t>
      </w:r>
      <w:r>
        <w:rPr>
          <w:rFonts w:hint="eastAsia" w:cs="Times New Roman"/>
          <w:color w:val="auto"/>
          <w:szCs w:val="32"/>
          <w:lang w:val="en-US" w:eastAsia="zh-CN"/>
        </w:rPr>
        <w:t>3.26</w:t>
      </w:r>
      <w:r>
        <w:rPr>
          <w:rFonts w:hint="default" w:ascii="Times New Roman" w:hAnsi="Times New Roman" w:cs="Times New Roman"/>
          <w:color w:val="auto"/>
          <w:szCs w:val="32"/>
        </w:rPr>
        <w:t>%；</w:t>
      </w:r>
      <w:r>
        <w:rPr>
          <w:rFonts w:hint="eastAsia" w:cs="Times New Roman"/>
          <w:color w:val="auto"/>
          <w:szCs w:val="32"/>
          <w:lang w:val="en-US" w:eastAsia="zh-CN"/>
        </w:rPr>
        <w:t>湿地982.15亩，占产业园总面积0.04%；</w:t>
      </w:r>
      <w:r>
        <w:rPr>
          <w:rFonts w:hint="default" w:ascii="Times New Roman" w:hAnsi="Times New Roman" w:cs="Times New Roman"/>
          <w:color w:val="auto"/>
          <w:szCs w:val="32"/>
        </w:rPr>
        <w:t>草地</w:t>
      </w:r>
      <w:r>
        <w:rPr>
          <w:rFonts w:hint="eastAsia" w:cs="Times New Roman"/>
          <w:color w:val="auto"/>
          <w:szCs w:val="32"/>
          <w:lang w:val="en-US" w:eastAsia="zh-CN"/>
        </w:rPr>
        <w:t>5530.20</w:t>
      </w:r>
      <w:r>
        <w:rPr>
          <w:rFonts w:hint="default" w:ascii="Times New Roman" w:hAnsi="Times New Roman" w:cs="Times New Roman"/>
          <w:color w:val="auto"/>
          <w:szCs w:val="32"/>
        </w:rPr>
        <w:t>亩，占产业园总面积0.</w:t>
      </w:r>
      <w:r>
        <w:rPr>
          <w:rFonts w:hint="eastAsia" w:cs="Times New Roman"/>
          <w:color w:val="auto"/>
          <w:szCs w:val="32"/>
          <w:lang w:val="en-US" w:eastAsia="zh-CN"/>
        </w:rPr>
        <w:t>21</w:t>
      </w:r>
      <w:r>
        <w:rPr>
          <w:rFonts w:hint="default" w:ascii="Times New Roman" w:hAnsi="Times New Roman" w:cs="Times New Roman"/>
          <w:color w:val="auto"/>
          <w:szCs w:val="32"/>
        </w:rPr>
        <w:t>%；园地</w:t>
      </w:r>
      <w:r>
        <w:rPr>
          <w:rFonts w:hint="eastAsia" w:cs="Times New Roman"/>
          <w:color w:val="auto"/>
          <w:szCs w:val="32"/>
          <w:lang w:val="en-US" w:eastAsia="zh-CN"/>
        </w:rPr>
        <w:t>915.21</w:t>
      </w:r>
      <w:r>
        <w:rPr>
          <w:rFonts w:hint="default" w:ascii="Times New Roman" w:hAnsi="Times New Roman" w:cs="Times New Roman"/>
          <w:color w:val="auto"/>
          <w:szCs w:val="32"/>
        </w:rPr>
        <w:t>亩，占产业园总面积0.</w:t>
      </w:r>
      <w:r>
        <w:rPr>
          <w:rFonts w:hint="eastAsia" w:cs="Times New Roman"/>
          <w:color w:val="auto"/>
          <w:szCs w:val="32"/>
          <w:lang w:val="en-US" w:eastAsia="zh-CN"/>
        </w:rPr>
        <w:t>03</w:t>
      </w:r>
      <w:r>
        <w:rPr>
          <w:rFonts w:hint="default" w:ascii="Times New Roman" w:hAnsi="Times New Roman" w:cs="Times New Roman"/>
          <w:color w:val="auto"/>
          <w:szCs w:val="32"/>
        </w:rPr>
        <w:t>%；</w:t>
      </w:r>
      <w:r>
        <w:rPr>
          <w:rFonts w:hint="eastAsia" w:cs="Times New Roman"/>
          <w:color w:val="auto"/>
          <w:szCs w:val="32"/>
          <w:lang w:val="en-US" w:eastAsia="zh-CN"/>
        </w:rPr>
        <w:t>水域及水利设施用地57843.21</w:t>
      </w:r>
      <w:r>
        <w:rPr>
          <w:rFonts w:hint="default" w:ascii="Times New Roman" w:hAnsi="Times New Roman" w:cs="Times New Roman"/>
          <w:color w:val="auto"/>
          <w:szCs w:val="32"/>
        </w:rPr>
        <w:t>亩，占产业园总面积2.</w:t>
      </w:r>
      <w:r>
        <w:rPr>
          <w:rFonts w:hint="eastAsia" w:cs="Times New Roman"/>
          <w:color w:val="auto"/>
          <w:szCs w:val="32"/>
          <w:lang w:val="en-US" w:eastAsia="zh-CN"/>
        </w:rPr>
        <w:t>17</w:t>
      </w:r>
      <w:r>
        <w:rPr>
          <w:rFonts w:hint="default" w:ascii="Times New Roman" w:hAnsi="Times New Roman" w:cs="Times New Roman"/>
          <w:color w:val="auto"/>
          <w:szCs w:val="32"/>
        </w:rPr>
        <w:t>%，建设用地</w:t>
      </w:r>
      <w:r>
        <w:rPr>
          <w:rFonts w:hint="eastAsia" w:cs="Times New Roman"/>
          <w:color w:val="auto"/>
          <w:szCs w:val="32"/>
          <w:lang w:val="en-US" w:eastAsia="zh-CN"/>
        </w:rPr>
        <w:t>244592.04</w:t>
      </w:r>
      <w:r>
        <w:rPr>
          <w:rFonts w:hint="default" w:ascii="Times New Roman" w:hAnsi="Times New Roman" w:cs="Times New Roman"/>
          <w:color w:val="auto"/>
          <w:szCs w:val="32"/>
        </w:rPr>
        <w:t>亩，占产业园总面积9.</w:t>
      </w:r>
      <w:r>
        <w:rPr>
          <w:rFonts w:hint="eastAsia" w:cs="Times New Roman"/>
          <w:color w:val="auto"/>
          <w:szCs w:val="32"/>
          <w:lang w:val="en-US" w:eastAsia="zh-CN"/>
        </w:rPr>
        <w:t>20</w:t>
      </w:r>
      <w:r>
        <w:rPr>
          <w:rFonts w:hint="default" w:ascii="Times New Roman" w:hAnsi="Times New Roman" w:cs="Times New Roman"/>
          <w:color w:val="auto"/>
          <w:szCs w:val="32"/>
        </w:rPr>
        <w:t>%；交通运输用地</w:t>
      </w:r>
      <w:r>
        <w:rPr>
          <w:rFonts w:hint="eastAsia" w:cs="Times New Roman"/>
          <w:color w:val="auto"/>
          <w:szCs w:val="32"/>
          <w:lang w:val="en-US" w:eastAsia="zh-CN"/>
        </w:rPr>
        <w:t>59264.25</w:t>
      </w:r>
      <w:r>
        <w:rPr>
          <w:rFonts w:hint="default" w:ascii="Times New Roman" w:hAnsi="Times New Roman" w:cs="Times New Roman"/>
          <w:color w:val="auto"/>
          <w:szCs w:val="32"/>
        </w:rPr>
        <w:t>亩，占产业园总面积</w:t>
      </w:r>
      <w:r>
        <w:rPr>
          <w:rFonts w:hint="eastAsia" w:cs="Times New Roman"/>
          <w:color w:val="auto"/>
          <w:szCs w:val="32"/>
          <w:lang w:val="en-US" w:eastAsia="zh-CN"/>
        </w:rPr>
        <w:t>2.23</w:t>
      </w:r>
      <w:r>
        <w:rPr>
          <w:rFonts w:hint="default" w:ascii="Times New Roman" w:hAnsi="Times New Roman" w:cs="Times New Roman"/>
          <w:color w:val="auto"/>
          <w:szCs w:val="32"/>
        </w:rPr>
        <w:t>%。其他用地</w:t>
      </w:r>
      <w:r>
        <w:rPr>
          <w:rFonts w:hint="eastAsia" w:cs="Times New Roman"/>
          <w:color w:val="auto"/>
          <w:szCs w:val="32"/>
          <w:lang w:val="en-US" w:eastAsia="zh-CN"/>
        </w:rPr>
        <w:t>9783.52</w:t>
      </w:r>
      <w:r>
        <w:rPr>
          <w:rFonts w:hint="default" w:ascii="Times New Roman" w:hAnsi="Times New Roman" w:cs="Times New Roman"/>
          <w:color w:val="auto"/>
          <w:szCs w:val="32"/>
        </w:rPr>
        <w:t>亩，占产业园总面积0.</w:t>
      </w:r>
      <w:r>
        <w:rPr>
          <w:rFonts w:hint="eastAsia" w:cs="Times New Roman"/>
          <w:color w:val="auto"/>
          <w:szCs w:val="32"/>
          <w:lang w:val="en-US" w:eastAsia="zh-CN"/>
        </w:rPr>
        <w:t>37</w:t>
      </w:r>
      <w:r>
        <w:rPr>
          <w:rFonts w:hint="default" w:ascii="Times New Roman" w:hAnsi="Times New Roman" w:cs="Times New Roman"/>
          <w:color w:val="auto"/>
          <w:szCs w:val="32"/>
        </w:rPr>
        <w:t>%。</w:t>
      </w:r>
    </w:p>
    <w:p>
      <w:pPr>
        <w:pageBreakBefore w:val="0"/>
        <w:widowControl w:val="0"/>
        <w:kinsoku/>
        <w:wordWrap/>
        <w:overflowPunct/>
        <w:topLinePunct w:val="0"/>
        <w:autoSpaceDE/>
        <w:autoSpaceDN/>
        <w:bidi w:val="0"/>
        <w:adjustRightInd w:val="0"/>
        <w:snapToGrid w:val="0"/>
        <w:ind w:firstLine="640"/>
        <w:textAlignment w:val="auto"/>
        <w:rPr>
          <w:rFonts w:hint="default" w:ascii="Times New Roman" w:hAnsi="Times New Roman" w:cs="Times New Roman"/>
          <w:color w:val="auto"/>
          <w:sz w:val="32"/>
          <w:szCs w:val="32"/>
        </w:rPr>
      </w:pPr>
      <w:r>
        <w:rPr>
          <w:rFonts w:hint="eastAsia"/>
          <w:b/>
          <w:bCs/>
          <w:color w:val="auto"/>
          <w:lang w:val="en-US" w:eastAsia="zh-CN"/>
        </w:rPr>
        <w:t>基础设施建设夯实发展之基。</w:t>
      </w:r>
      <w:r>
        <w:rPr>
          <w:rFonts w:hint="default" w:ascii="Times New Roman" w:hAnsi="Times New Roman" w:cs="Times New Roman"/>
          <w:color w:val="auto"/>
          <w:sz w:val="32"/>
          <w:szCs w:val="32"/>
        </w:rPr>
        <w:t>园区已初步具备农业生产所</w:t>
      </w:r>
      <w:r>
        <w:rPr>
          <w:rFonts w:hint="eastAsia" w:ascii="仿宋" w:hAnsi="仿宋" w:eastAsia="仿宋" w:cs="仿宋"/>
          <w:color w:val="auto"/>
          <w:sz w:val="32"/>
          <w:szCs w:val="32"/>
        </w:rPr>
        <w:t>需“三通一平”的基</w:t>
      </w:r>
      <w:r>
        <w:rPr>
          <w:rFonts w:hint="default" w:ascii="Times New Roman" w:hAnsi="Times New Roman" w:cs="Times New Roman"/>
          <w:color w:val="auto"/>
          <w:sz w:val="32"/>
          <w:szCs w:val="32"/>
        </w:rPr>
        <w:t>本要求。</w:t>
      </w:r>
      <w:r>
        <w:rPr>
          <w:rFonts w:hint="default" w:ascii="Times New Roman" w:hAnsi="Times New Roman" w:cs="Times New Roman"/>
          <w:b/>
          <w:color w:val="auto"/>
          <w:sz w:val="32"/>
          <w:szCs w:val="32"/>
        </w:rPr>
        <w:t>交通线路分布合理。</w:t>
      </w:r>
      <w:r>
        <w:rPr>
          <w:rFonts w:hint="eastAsia" w:ascii="Times New Roman" w:hAnsi="Times New Roman" w:cs="Times New Roman"/>
          <w:color w:val="auto"/>
          <w:sz w:val="32"/>
          <w:szCs w:val="32"/>
          <w:lang w:val="en-US" w:eastAsia="zh-CN"/>
        </w:rPr>
        <w:t>哈大客运专线、京哈铁路途经</w:t>
      </w:r>
      <w:r>
        <w:rPr>
          <w:rFonts w:hint="default" w:ascii="Times New Roman" w:hAnsi="Times New Roman" w:cs="Times New Roman"/>
          <w:color w:val="auto"/>
          <w:sz w:val="32"/>
          <w:szCs w:val="32"/>
        </w:rPr>
        <w:t>园区，周边公路系统发达，</w:t>
      </w:r>
      <w:r>
        <w:rPr>
          <w:rFonts w:hint="eastAsia" w:ascii="Times New Roman" w:hAnsi="Times New Roman" w:cs="Times New Roman"/>
          <w:color w:val="auto"/>
          <w:sz w:val="32"/>
          <w:szCs w:val="32"/>
          <w:lang w:val="en-US" w:eastAsia="zh-CN"/>
        </w:rPr>
        <w:t>京哈高速、S302省道、G102国道、环长春经济圈高速等</w:t>
      </w:r>
      <w:r>
        <w:rPr>
          <w:rFonts w:hint="default" w:ascii="Times New Roman" w:hAnsi="Times New Roman" w:cs="Times New Roman"/>
          <w:color w:val="auto"/>
          <w:sz w:val="32"/>
          <w:szCs w:val="32"/>
        </w:rPr>
        <w:t>交通主动脉从产业园区通过，内部道路四通八达。</w:t>
      </w:r>
      <w:r>
        <w:rPr>
          <w:rFonts w:hint="default" w:ascii="Times New Roman" w:hAnsi="Times New Roman" w:cs="Times New Roman"/>
          <w:b/>
          <w:color w:val="auto"/>
          <w:sz w:val="32"/>
          <w:szCs w:val="32"/>
        </w:rPr>
        <w:t>水电通讯设施完备。</w:t>
      </w:r>
      <w:r>
        <w:rPr>
          <w:rFonts w:hint="default" w:ascii="Times New Roman" w:hAnsi="Times New Roman" w:cs="Times New Roman"/>
          <w:bCs/>
          <w:color w:val="auto"/>
          <w:sz w:val="32"/>
          <w:szCs w:val="32"/>
        </w:rPr>
        <w:t>园区现有水电设施完备。</w:t>
      </w:r>
      <w:r>
        <w:rPr>
          <w:rFonts w:hint="eastAsia" w:cs="Times New Roman"/>
          <w:bCs/>
          <w:color w:val="auto"/>
          <w:sz w:val="32"/>
          <w:szCs w:val="32"/>
          <w:lang w:val="en-US" w:eastAsia="zh-CN"/>
        </w:rPr>
        <w:t>建有机井872座，包括农业灌溉地下取水口669座和农村安全饮水工程取水口203座，</w:t>
      </w:r>
      <w:r>
        <w:rPr>
          <w:rFonts w:hint="default" w:ascii="Times New Roman" w:hAnsi="Times New Roman" w:cs="Times New Roman"/>
          <w:bCs/>
          <w:color w:val="auto"/>
          <w:sz w:val="32"/>
          <w:szCs w:val="32"/>
        </w:rPr>
        <w:t>给排水设施完备，能够满足产业园区用水需求。</w:t>
      </w:r>
      <w:r>
        <w:rPr>
          <w:rFonts w:hint="default" w:ascii="Times New Roman" w:hAnsi="Times New Roman" w:cs="Times New Roman"/>
          <w:color w:val="auto"/>
          <w:sz w:val="32"/>
          <w:szCs w:val="32"/>
        </w:rPr>
        <w:t>现有电力基础设施能够满足机井取水、管道输水、</w:t>
      </w:r>
      <w:r>
        <w:rPr>
          <w:rFonts w:hint="eastAsia" w:ascii="Times New Roman" w:hAnsi="Times New Roman" w:cs="Times New Roman"/>
          <w:color w:val="auto"/>
          <w:sz w:val="32"/>
          <w:szCs w:val="32"/>
          <w:lang w:val="en-US" w:eastAsia="zh-CN"/>
        </w:rPr>
        <w:t>养殖</w:t>
      </w:r>
      <w:r>
        <w:rPr>
          <w:rFonts w:hint="default" w:ascii="Times New Roman" w:hAnsi="Times New Roman" w:cs="Times New Roman"/>
          <w:color w:val="auto"/>
          <w:sz w:val="32"/>
          <w:szCs w:val="32"/>
        </w:rPr>
        <w:t>、加工等用电需求。产业园内行政村宽带网络建设完善，广播电视网络覆盖率、通宽带比例均达100%，4G信号全覆盖，形成了多网融合、高通量信息通讯格局。</w:t>
      </w:r>
    </w:p>
    <w:p>
      <w:pPr>
        <w:pageBreakBefore w:val="0"/>
        <w:kinsoku/>
        <w:wordWrap/>
        <w:overflowPunct/>
        <w:topLinePunct w:val="0"/>
        <w:bidi w:val="0"/>
        <w:snapToGrid w:val="0"/>
        <w:spacing w:line="360" w:lineRule="auto"/>
        <w:ind w:firstLine="640"/>
        <w:rPr>
          <w:rFonts w:hint="eastAsia"/>
          <w:color w:val="auto"/>
        </w:rPr>
      </w:pPr>
      <w:bookmarkStart w:id="17" w:name="_Toc338446747"/>
      <w:r>
        <w:rPr>
          <w:rFonts w:hint="eastAsia"/>
          <w:b/>
          <w:bCs/>
          <w:color w:val="auto"/>
          <w:lang w:val="en-US" w:eastAsia="zh-CN"/>
        </w:rPr>
        <w:t>经济向好社会发展向新。</w:t>
      </w:r>
      <w:r>
        <w:rPr>
          <w:rFonts w:hint="eastAsia"/>
          <w:color w:val="auto"/>
        </w:rPr>
        <w:t>2017</w:t>
      </w:r>
      <w:r>
        <w:rPr>
          <w:rFonts w:hint="eastAsia" w:ascii="仿宋" w:hAnsi="仿宋"/>
          <w:color w:val="auto"/>
        </w:rPr>
        <w:t>年德惠市肉鸡现代农业产业园被认定为长春市第一批市级现代农业产业园，</w:t>
      </w:r>
      <w:r>
        <w:rPr>
          <w:rFonts w:hint="eastAsia"/>
          <w:color w:val="auto"/>
        </w:rPr>
        <w:t>2019</w:t>
      </w:r>
      <w:r>
        <w:rPr>
          <w:rFonts w:hint="eastAsia" w:ascii="仿宋" w:hAnsi="仿宋"/>
          <w:color w:val="auto"/>
        </w:rPr>
        <w:t>年被认定为省级现代农业产业园创建单位。</w:t>
      </w:r>
      <w:r>
        <w:rPr>
          <w:rFonts w:hint="eastAsia"/>
          <w:color w:val="auto"/>
          <w:lang w:val="en-US" w:eastAsia="zh-CN"/>
        </w:rPr>
        <w:t>经过多年发展，产业园建设初见成效。</w:t>
      </w:r>
      <w:r>
        <w:rPr>
          <w:rFonts w:hint="eastAsia"/>
          <w:color w:val="auto"/>
        </w:rPr>
        <w:t>202</w:t>
      </w:r>
      <w:r>
        <w:rPr>
          <w:rFonts w:hint="eastAsia"/>
          <w:color w:val="auto"/>
          <w:lang w:val="en-US" w:eastAsia="zh-CN"/>
        </w:rPr>
        <w:t>3</w:t>
      </w:r>
      <w:r>
        <w:rPr>
          <w:rFonts w:hint="eastAsia"/>
          <w:color w:val="auto"/>
        </w:rPr>
        <w:t>年，德惠市肉鸡现代农业产业园总产值达</w:t>
      </w:r>
      <w:r>
        <w:rPr>
          <w:rFonts w:hint="eastAsia"/>
          <w:color w:val="auto"/>
          <w:lang w:val="en-US" w:eastAsia="zh-CN"/>
        </w:rPr>
        <w:t>187.8</w:t>
      </w:r>
      <w:r>
        <w:rPr>
          <w:rFonts w:hint="eastAsia"/>
          <w:color w:val="auto"/>
        </w:rPr>
        <w:t>亿元，主导产业肉鸡产业实现产值</w:t>
      </w:r>
      <w:r>
        <w:rPr>
          <w:rFonts w:hint="eastAsia"/>
          <w:color w:val="auto"/>
          <w:lang w:val="en-US" w:eastAsia="zh-CN"/>
        </w:rPr>
        <w:t>99.13</w:t>
      </w:r>
      <w:r>
        <w:rPr>
          <w:rFonts w:hint="eastAsia"/>
          <w:color w:val="auto"/>
        </w:rPr>
        <w:t>亿元，占园区总产值比重</w:t>
      </w:r>
      <w:r>
        <w:rPr>
          <w:rFonts w:hint="eastAsia"/>
          <w:color w:val="auto"/>
          <w:lang w:val="en-US" w:eastAsia="zh-CN"/>
        </w:rPr>
        <w:t>52.78</w:t>
      </w:r>
      <w:r>
        <w:rPr>
          <w:rFonts w:hint="eastAsia"/>
          <w:color w:val="auto"/>
        </w:rPr>
        <w:t>%</w:t>
      </w:r>
      <w:r>
        <w:rPr>
          <w:rFonts w:hint="eastAsia"/>
          <w:color w:val="auto"/>
          <w:lang w:eastAsia="zh-CN"/>
        </w:rPr>
        <w:t>，</w:t>
      </w:r>
      <w:r>
        <w:rPr>
          <w:rFonts w:hint="eastAsia"/>
          <w:color w:val="auto"/>
        </w:rPr>
        <w:t>主导产业加工转化率达100%。带动农户</w:t>
      </w:r>
      <w:r>
        <w:rPr>
          <w:rFonts w:hint="eastAsia"/>
          <w:color w:val="auto"/>
          <w:lang w:val="en-US" w:eastAsia="zh-CN"/>
        </w:rPr>
        <w:t>就业6.96</w:t>
      </w:r>
      <w:r>
        <w:rPr>
          <w:rFonts w:hint="eastAsia"/>
          <w:color w:val="auto"/>
        </w:rPr>
        <w:t>万余</w:t>
      </w:r>
      <w:r>
        <w:rPr>
          <w:rFonts w:hint="eastAsia"/>
          <w:color w:val="auto"/>
          <w:lang w:val="en-US" w:eastAsia="zh-CN"/>
        </w:rPr>
        <w:t>人</w:t>
      </w:r>
      <w:r>
        <w:rPr>
          <w:rFonts w:hint="eastAsia"/>
          <w:color w:val="auto"/>
        </w:rPr>
        <w:t>，人均可支配收入</w:t>
      </w:r>
      <w:r>
        <w:rPr>
          <w:rFonts w:hint="eastAsia"/>
          <w:color w:val="auto"/>
          <w:lang w:val="en-US" w:eastAsia="zh-CN"/>
        </w:rPr>
        <w:t>27213</w:t>
      </w:r>
      <w:r>
        <w:rPr>
          <w:rFonts w:hint="eastAsia"/>
          <w:color w:val="auto"/>
        </w:rPr>
        <w:t>元，高于德惠市</w:t>
      </w:r>
      <w:r>
        <w:rPr>
          <w:rFonts w:hint="eastAsia"/>
          <w:color w:val="auto"/>
          <w:lang w:val="en-US" w:eastAsia="zh-CN"/>
        </w:rPr>
        <w:t>镇域</w:t>
      </w:r>
      <w:r>
        <w:rPr>
          <w:rFonts w:hint="eastAsia"/>
          <w:color w:val="auto"/>
        </w:rPr>
        <w:t>农民人均可支配收入</w:t>
      </w:r>
      <w:r>
        <w:rPr>
          <w:rFonts w:hint="eastAsia"/>
          <w:color w:val="auto"/>
          <w:lang w:val="en-US" w:eastAsia="zh-CN"/>
        </w:rPr>
        <w:t>20645</w:t>
      </w:r>
      <w:r>
        <w:rPr>
          <w:rFonts w:hint="eastAsia"/>
          <w:color w:val="auto"/>
        </w:rPr>
        <w:t>元</w:t>
      </w:r>
      <w:r>
        <w:rPr>
          <w:rFonts w:hint="eastAsia"/>
          <w:color w:val="auto"/>
          <w:lang w:val="en-US" w:eastAsia="zh-CN"/>
        </w:rPr>
        <w:t>31.81</w:t>
      </w:r>
      <w:r>
        <w:rPr>
          <w:rFonts w:hint="eastAsia"/>
          <w:color w:val="auto"/>
        </w:rPr>
        <w:t>%。</w:t>
      </w:r>
    </w:p>
    <w:p>
      <w:pPr>
        <w:pStyle w:val="5"/>
        <w:pageBreakBefore w:val="0"/>
        <w:kinsoku/>
        <w:wordWrap/>
        <w:overflowPunct/>
        <w:topLinePunct w:val="0"/>
        <w:autoSpaceDE/>
        <w:autoSpaceDN/>
        <w:bidi w:val="0"/>
        <w:adjustRightInd w:val="0"/>
        <w:snapToGrid w:val="0"/>
        <w:spacing w:before="0" w:beforeLines="-2147483648" w:after="0" w:afterLines="-2147483648" w:line="360" w:lineRule="auto"/>
        <w:ind w:firstLine="643" w:firstLineChars="200"/>
        <w:textAlignment w:val="auto"/>
        <w:rPr>
          <w:rFonts w:hint="eastAsia" w:ascii="Times New Roman" w:hAnsi="Times New Roman" w:eastAsia="楷体" w:cs="Times New Roman"/>
          <w:bCs/>
          <w:color w:val="auto"/>
          <w:lang w:val="en-US" w:eastAsia="zh-CN"/>
        </w:rPr>
      </w:pPr>
      <w:bookmarkStart w:id="18" w:name="_Toc22467"/>
      <w:r>
        <w:rPr>
          <w:rFonts w:hint="eastAsia" w:eastAsia="楷体" w:cs="Times New Roman"/>
          <w:bCs/>
          <w:color w:val="auto"/>
          <w:lang w:val="en-US" w:eastAsia="zh-CN"/>
        </w:rPr>
        <w:t>（四）</w:t>
      </w:r>
      <w:r>
        <w:rPr>
          <w:rFonts w:hint="eastAsia" w:ascii="Times New Roman" w:hAnsi="Times New Roman" w:eastAsia="楷体" w:cs="Times New Roman"/>
          <w:bCs/>
          <w:color w:val="auto"/>
          <w:lang w:val="en-US" w:eastAsia="zh-CN"/>
        </w:rPr>
        <w:t>主导产业</w:t>
      </w:r>
      <w:bookmarkEnd w:id="17"/>
      <w:r>
        <w:rPr>
          <w:rFonts w:hint="eastAsia" w:eastAsia="楷体" w:cs="Times New Roman"/>
          <w:bCs/>
          <w:color w:val="auto"/>
          <w:lang w:val="en-US" w:eastAsia="zh-CN"/>
        </w:rPr>
        <w:t>概况</w:t>
      </w:r>
      <w:bookmarkEnd w:id="18"/>
    </w:p>
    <w:p>
      <w:pPr>
        <w:pageBreakBefore w:val="0"/>
        <w:kinsoku/>
        <w:wordWrap/>
        <w:overflowPunct/>
        <w:topLinePunct w:val="0"/>
        <w:bidi w:val="0"/>
        <w:adjustRightInd w:val="0"/>
        <w:snapToGrid w:val="0"/>
        <w:spacing w:line="360" w:lineRule="auto"/>
        <w:ind w:firstLine="640"/>
        <w:rPr>
          <w:rFonts w:hint="eastAsia"/>
          <w:color w:val="auto"/>
        </w:rPr>
      </w:pPr>
      <w:r>
        <w:rPr>
          <w:rFonts w:hint="eastAsia"/>
          <w:b/>
          <w:bCs/>
          <w:color w:val="auto"/>
        </w:rPr>
        <w:t>肉鸡产业链条完整</w:t>
      </w:r>
      <w:r>
        <w:rPr>
          <w:rFonts w:hint="eastAsia"/>
          <w:color w:val="auto"/>
        </w:rPr>
        <w:t>。建立了覆盖祖代种鸡、父母代种鸡、孵化、肉鸡、饲料、屠宰加工、冷链物流、粪污利用、病死鸡无害化处理等完整的产业链条</w:t>
      </w:r>
      <w:r>
        <w:rPr>
          <w:rFonts w:hint="eastAsia"/>
          <w:color w:val="auto"/>
          <w:lang w:eastAsia="zh-CN"/>
        </w:rPr>
        <w:t>，</w:t>
      </w:r>
      <w:r>
        <w:rPr>
          <w:rFonts w:hint="eastAsia"/>
          <w:color w:val="auto"/>
          <w:lang w:val="en-US" w:eastAsia="zh-CN"/>
        </w:rPr>
        <w:t>构建了“粮头食尾”“农头工尾”“畜头肉尾”相连成链、相映成业的创新模式</w:t>
      </w:r>
      <w:r>
        <w:rPr>
          <w:rFonts w:hint="eastAsia"/>
          <w:color w:val="auto"/>
        </w:rPr>
        <w:t>。</w:t>
      </w:r>
    </w:p>
    <w:p>
      <w:pPr>
        <w:pageBreakBefore w:val="0"/>
        <w:kinsoku/>
        <w:wordWrap/>
        <w:overflowPunct/>
        <w:topLinePunct w:val="0"/>
        <w:bidi w:val="0"/>
        <w:adjustRightInd w:val="0"/>
        <w:snapToGrid w:val="0"/>
        <w:spacing w:line="360" w:lineRule="auto"/>
        <w:ind w:firstLine="640"/>
        <w:rPr>
          <w:rFonts w:hint="eastAsia"/>
          <w:color w:val="auto"/>
          <w:lang w:val="en-US" w:eastAsia="zh-CN"/>
        </w:rPr>
      </w:pPr>
      <w:r>
        <w:rPr>
          <w:rFonts w:hint="eastAsia"/>
          <w:b/>
          <w:bCs/>
          <w:color w:val="auto"/>
          <w:lang w:val="en-US" w:eastAsia="zh-CN"/>
        </w:rPr>
        <w:t>在产业链前端。</w:t>
      </w:r>
      <w:r>
        <w:rPr>
          <w:rFonts w:hint="eastAsia"/>
          <w:b w:val="0"/>
          <w:bCs w:val="0"/>
          <w:color w:val="auto"/>
          <w:lang w:val="en-US" w:eastAsia="zh-CN"/>
        </w:rPr>
        <w:t>园区肉鸡良种体系较为完善，主要品种为AA+白羽肉鸡，具有体型大、生长发育快、适应性强、饲料转化率高等特点，平均出栏体重2.75公斤，2023年吉星公司引进国外祖代肉种鸡4万套，德翔公司引进祖代肉种鸡2万套。积极构建了优质玉米标准化生产示范区，建成了绿色水稻标准化生产示范区，入园企业德翔集团建设了集种鸡繁育、孵化和肉鸡养殖于一体的1亿只鸡标准化肉鸡生产示范区。园区</w:t>
      </w:r>
      <w:r>
        <w:rPr>
          <w:rFonts w:hint="eastAsia"/>
          <w:color w:val="auto"/>
        </w:rPr>
        <w:t>现</w:t>
      </w:r>
      <w:r>
        <w:rPr>
          <w:rFonts w:hint="eastAsia"/>
          <w:color w:val="auto"/>
          <w:lang w:val="en-US" w:eastAsia="zh-CN"/>
        </w:rPr>
        <w:t>建有祖代肉种鸡场2个，饲养能力12万套，</w:t>
      </w:r>
      <w:r>
        <w:rPr>
          <w:rFonts w:hint="eastAsia"/>
          <w:color w:val="auto"/>
        </w:rPr>
        <w:t>父母代肉种鸡</w:t>
      </w:r>
      <w:r>
        <w:rPr>
          <w:rFonts w:hint="eastAsia"/>
          <w:color w:val="auto"/>
          <w:lang w:val="en-US" w:eastAsia="zh-CN"/>
        </w:rPr>
        <w:t>场20余个，饲养能力200万套以上，现存栏父母代肉种鸡150万只，年可产商品鸡雏2.3亿只，</w:t>
      </w:r>
      <w:r>
        <w:rPr>
          <w:rFonts w:hint="eastAsia"/>
          <w:color w:val="auto"/>
        </w:rPr>
        <w:t>已形成祖代、父母代、商品代扩散递增的良性格局。建成年出栏万只以上的肉鸡规模养殖场282</w:t>
      </w:r>
      <w:r>
        <w:rPr>
          <w:rFonts w:hint="eastAsia"/>
          <w:color w:val="auto"/>
          <w:lang w:val="en-US" w:eastAsia="zh-CN"/>
        </w:rPr>
        <w:t>个</w:t>
      </w:r>
      <w:r>
        <w:rPr>
          <w:rFonts w:hint="eastAsia"/>
          <w:color w:val="auto"/>
        </w:rPr>
        <w:t>，省、市级标准化肉鸡养殖小区120个，其中年出栏200万只以上的肉鸡养殖场</w:t>
      </w:r>
      <w:r>
        <w:rPr>
          <w:rFonts w:hint="eastAsia"/>
          <w:color w:val="auto"/>
          <w:lang w:val="en-US" w:eastAsia="zh-CN"/>
        </w:rPr>
        <w:t>6</w:t>
      </w:r>
      <w:r>
        <w:rPr>
          <w:rFonts w:hint="eastAsia"/>
          <w:color w:val="auto"/>
        </w:rPr>
        <w:t>个</w:t>
      </w:r>
      <w:r>
        <w:rPr>
          <w:rFonts w:hint="eastAsia"/>
          <w:color w:val="auto"/>
          <w:lang w:eastAsia="zh-CN"/>
        </w:rPr>
        <w:t>，</w:t>
      </w:r>
      <w:r>
        <w:rPr>
          <w:rFonts w:hint="eastAsia"/>
          <w:color w:val="auto"/>
          <w:lang w:val="en-US" w:eastAsia="zh-CN"/>
        </w:rPr>
        <w:t>国家级标准化示范场1个，省级标准化示范场5个，市级标准化示范场16个</w:t>
      </w:r>
      <w:r>
        <w:rPr>
          <w:rFonts w:hint="eastAsia"/>
          <w:color w:val="auto"/>
        </w:rPr>
        <w:t>。</w:t>
      </w:r>
      <w:r>
        <w:rPr>
          <w:rFonts w:hint="eastAsia"/>
          <w:color w:val="auto"/>
          <w:lang w:val="en-US" w:eastAsia="zh-CN"/>
        </w:rPr>
        <w:t>园区肉鸡养殖量达到6700万只，标准化养殖水平达到100%。</w:t>
      </w:r>
    </w:p>
    <w:p>
      <w:pPr>
        <w:pageBreakBefore w:val="0"/>
        <w:kinsoku/>
        <w:wordWrap/>
        <w:overflowPunct/>
        <w:topLinePunct w:val="0"/>
        <w:bidi w:val="0"/>
        <w:adjustRightInd w:val="0"/>
        <w:snapToGrid w:val="0"/>
        <w:spacing w:line="360" w:lineRule="auto"/>
        <w:ind w:firstLine="640"/>
        <w:rPr>
          <w:rFonts w:hint="eastAsia"/>
          <w:color w:val="auto"/>
        </w:rPr>
      </w:pPr>
      <w:r>
        <w:rPr>
          <w:rFonts w:hint="eastAsia"/>
          <w:b/>
          <w:bCs/>
          <w:color w:val="auto"/>
          <w:lang w:val="en-US" w:eastAsia="zh-CN"/>
        </w:rPr>
        <w:t>在产业链中端。</w:t>
      </w:r>
      <w:r>
        <w:rPr>
          <w:rFonts w:hint="eastAsia"/>
          <w:b w:val="0"/>
          <w:bCs w:val="0"/>
          <w:color w:val="auto"/>
          <w:lang w:val="en-US" w:eastAsia="zh-CN"/>
        </w:rPr>
        <w:t>充分发挥省级农产品加工示范区、全国水稻产业集群创建区和肉鸡、水稻、生猪3个省级现代农业产业园的集聚优势，集中培育农产品加工示范园区，实现</w:t>
      </w:r>
      <w:r>
        <w:rPr>
          <w:rFonts w:hint="eastAsia" w:ascii="仿宋" w:hAnsi="仿宋" w:eastAsia="仿宋"/>
          <w:color w:val="auto"/>
          <w:sz w:val="32"/>
          <w:szCs w:val="40"/>
        </w:rPr>
        <w:t>串珠成线、连块成带、集群成链</w:t>
      </w:r>
      <w:r>
        <w:rPr>
          <w:rFonts w:hint="eastAsia" w:ascii="仿宋" w:hAnsi="仿宋"/>
          <w:color w:val="auto"/>
          <w:sz w:val="32"/>
          <w:szCs w:val="40"/>
          <w:lang w:eastAsia="zh-CN"/>
        </w:rPr>
        <w:t>。</w:t>
      </w:r>
      <w:r>
        <w:rPr>
          <w:rFonts w:hint="eastAsia" w:ascii="仿宋" w:hAnsi="仿宋"/>
          <w:color w:val="auto"/>
          <w:sz w:val="32"/>
          <w:szCs w:val="40"/>
          <w:lang w:val="en-US" w:eastAsia="zh-CN"/>
        </w:rPr>
        <w:t>高度</w:t>
      </w:r>
      <w:r>
        <w:rPr>
          <w:rFonts w:hint="eastAsia"/>
          <w:b w:val="0"/>
          <w:bCs w:val="0"/>
          <w:color w:val="auto"/>
          <w:lang w:val="en-US" w:eastAsia="zh-CN"/>
        </w:rPr>
        <w:t>落实“大食物观”，把肉鸡产业作出高质量，不断开发以鸡肉为主的预制菜、休闲食品等，域内</w:t>
      </w:r>
      <w:r>
        <w:rPr>
          <w:rFonts w:hint="eastAsia"/>
          <w:color w:val="auto"/>
        </w:rPr>
        <w:t>有德翔、德大、禾丰</w:t>
      </w:r>
      <w:r>
        <w:rPr>
          <w:rFonts w:hint="eastAsia"/>
          <w:color w:val="auto"/>
          <w:lang w:eastAsia="zh-CN"/>
        </w:rPr>
        <w:t>、</w:t>
      </w:r>
      <w:r>
        <w:rPr>
          <w:rFonts w:hint="eastAsia"/>
          <w:color w:val="auto"/>
          <w:lang w:val="en-US" w:eastAsia="zh-CN"/>
        </w:rPr>
        <w:t>耘垦4</w:t>
      </w:r>
      <w:r>
        <w:rPr>
          <w:rFonts w:hint="eastAsia"/>
          <w:color w:val="auto"/>
        </w:rPr>
        <w:t>家</w:t>
      </w:r>
      <w:r>
        <w:rPr>
          <w:rFonts w:hint="eastAsia"/>
          <w:color w:val="auto"/>
          <w:lang w:val="en-US" w:eastAsia="zh-CN"/>
        </w:rPr>
        <w:t>大型</w:t>
      </w:r>
      <w:r>
        <w:rPr>
          <w:rFonts w:hint="eastAsia"/>
          <w:color w:val="auto"/>
        </w:rPr>
        <w:t>肉鸡</w:t>
      </w:r>
      <w:r>
        <w:rPr>
          <w:rFonts w:hint="eastAsia"/>
          <w:color w:val="auto"/>
          <w:lang w:val="en-US" w:eastAsia="zh-CN"/>
        </w:rPr>
        <w:t>屠宰</w:t>
      </w:r>
      <w:r>
        <w:rPr>
          <w:rFonts w:hint="eastAsia"/>
          <w:color w:val="auto"/>
        </w:rPr>
        <w:t>加工企业，年</w:t>
      </w:r>
      <w:r>
        <w:rPr>
          <w:rFonts w:hint="eastAsia"/>
          <w:color w:val="auto"/>
          <w:lang w:val="en-US" w:eastAsia="zh-CN"/>
        </w:rPr>
        <w:t>屠宰</w:t>
      </w:r>
      <w:r>
        <w:rPr>
          <w:rFonts w:hint="eastAsia"/>
          <w:color w:val="auto"/>
        </w:rPr>
        <w:t>加工能力</w:t>
      </w:r>
      <w:r>
        <w:rPr>
          <w:rFonts w:hint="eastAsia"/>
          <w:color w:val="auto"/>
          <w:lang w:val="en-US" w:eastAsia="zh-CN"/>
        </w:rPr>
        <w:t>达到2</w:t>
      </w:r>
      <w:r>
        <w:rPr>
          <w:rFonts w:hint="eastAsia"/>
          <w:color w:val="auto"/>
        </w:rPr>
        <w:t>亿只</w:t>
      </w:r>
      <w:r>
        <w:rPr>
          <w:rFonts w:hint="eastAsia"/>
          <w:color w:val="auto"/>
          <w:lang w:eastAsia="zh-CN"/>
        </w:rPr>
        <w:t>，</w:t>
      </w:r>
      <w:r>
        <w:rPr>
          <w:rFonts w:hint="eastAsia"/>
          <w:color w:val="auto"/>
          <w:lang w:val="en-US" w:eastAsia="zh-CN"/>
        </w:rPr>
        <w:t>逐步将肉鸡产业打造成为高标准高质量的百亿级产业集群</w:t>
      </w:r>
      <w:r>
        <w:rPr>
          <w:rFonts w:hint="eastAsia"/>
          <w:color w:val="auto"/>
        </w:rPr>
        <w:t>。承担了畜禽粪污资源化利用整县推进项目，鸡粪有机肥生产能力达24万吨，资源化利用率达</w:t>
      </w:r>
      <w:r>
        <w:rPr>
          <w:rFonts w:hint="eastAsia"/>
          <w:color w:val="auto"/>
          <w:lang w:val="en-US" w:eastAsia="zh-CN"/>
        </w:rPr>
        <w:t>95.8</w:t>
      </w:r>
      <w:r>
        <w:rPr>
          <w:rFonts w:hint="eastAsia"/>
          <w:color w:val="auto"/>
        </w:rPr>
        <w:t>%。</w:t>
      </w:r>
      <w:r>
        <w:rPr>
          <w:rFonts w:hint="eastAsia"/>
          <w:color w:val="auto"/>
          <w:lang w:val="en-US" w:eastAsia="zh-CN"/>
        </w:rPr>
        <w:t>在鸡羽毛、鸡血、鸡内脏、鸡骨架等高附加值利用方面做足文章，开发宠物食品、羽毛蛋白粉、血清蛋白粉等产品，不断提高肉鸡屠宰副产物综合利用水平。</w:t>
      </w:r>
      <w:r>
        <w:rPr>
          <w:rFonts w:hint="eastAsia"/>
          <w:color w:val="auto"/>
        </w:rPr>
        <w:t>德翔、德大、新希望六合等6座大型肉鸡饲料厂，年生产饲料</w:t>
      </w:r>
      <w:r>
        <w:rPr>
          <w:rFonts w:hint="eastAsia"/>
          <w:color w:val="auto"/>
          <w:lang w:val="en-US" w:eastAsia="zh-CN"/>
        </w:rPr>
        <w:t>100</w:t>
      </w:r>
      <w:r>
        <w:rPr>
          <w:rFonts w:hint="eastAsia"/>
          <w:color w:val="auto"/>
        </w:rPr>
        <w:t>万吨，除满足本市肉鸡生产外，还销往外埠。</w:t>
      </w:r>
    </w:p>
    <w:p>
      <w:pPr>
        <w:pageBreakBefore w:val="0"/>
        <w:kinsoku/>
        <w:wordWrap/>
        <w:overflowPunct/>
        <w:topLinePunct w:val="0"/>
        <w:bidi w:val="0"/>
        <w:adjustRightInd w:val="0"/>
        <w:snapToGrid w:val="0"/>
        <w:spacing w:line="360" w:lineRule="auto"/>
        <w:ind w:firstLine="640"/>
        <w:rPr>
          <w:rFonts w:hint="eastAsia"/>
          <w:b w:val="0"/>
          <w:bCs w:val="0"/>
          <w:color w:val="auto"/>
          <w:highlight w:val="none"/>
          <w:lang w:val="en-US" w:eastAsia="zh-CN"/>
        </w:rPr>
      </w:pPr>
      <w:r>
        <w:rPr>
          <w:rFonts w:hint="eastAsia"/>
          <w:b/>
          <w:bCs/>
          <w:color w:val="auto"/>
          <w:highlight w:val="none"/>
          <w:lang w:val="en-US" w:eastAsia="zh-CN"/>
        </w:rPr>
        <w:t>在产业链后端。</w:t>
      </w:r>
      <w:r>
        <w:rPr>
          <w:rFonts w:ascii="Times New Roman" w:hAnsi="Times New Roman" w:eastAsia="仿宋" w:cs="Times New Roman"/>
          <w:color w:val="auto"/>
          <w:sz w:val="32"/>
          <w:szCs w:val="32"/>
          <w:highlight w:val="none"/>
        </w:rPr>
        <w:t>全市制定了粮食收购应急预案，建立了覆盖</w:t>
      </w:r>
      <w:r>
        <w:rPr>
          <w:rFonts w:ascii="Times New Roman" w:hAnsi="Times New Roman" w:eastAsia="仿宋" w:cs="Times New Roman"/>
          <w:color w:val="auto"/>
          <w:sz w:val="32"/>
          <w:szCs w:val="32"/>
        </w:rPr>
        <w:t>全市的粮食收购信息监测网络。德惠新良国家粮食储备库通过数字赋能，建立了粮食质量监测体系、绿色储粮工程体系、储备设备自动化升级等，成为典型经验在全国示范推广。全市</w:t>
      </w:r>
      <w:r>
        <w:rPr>
          <w:rFonts w:hint="eastAsia" w:cs="Times New Roman"/>
          <w:color w:val="auto"/>
          <w:sz w:val="32"/>
          <w:szCs w:val="32"/>
          <w:lang w:val="en-US" w:eastAsia="zh-CN"/>
        </w:rPr>
        <w:t>肉鸡屠宰加工厂冷库储存能力1.3万吨，冷藏运输车辆满载运输能力2000万吨以上。</w:t>
      </w:r>
      <w:r>
        <w:rPr>
          <w:rFonts w:ascii="Times New Roman" w:hAnsi="Times New Roman" w:eastAsia="仿宋" w:cs="Times New Roman"/>
          <w:color w:val="auto"/>
          <w:sz w:val="32"/>
          <w:szCs w:val="32"/>
        </w:rPr>
        <w:t>肉鸡龙头企业德翔集团建设了2条铁路专用线，实现全天候发送，配备冷库2座，年仓储物流能力达到100万吨。</w:t>
      </w:r>
      <w:r>
        <w:rPr>
          <w:rFonts w:hint="eastAsia" w:cs="Times New Roman"/>
          <w:color w:val="auto"/>
          <w:sz w:val="32"/>
          <w:szCs w:val="32"/>
          <w:lang w:val="en-US" w:eastAsia="zh-CN"/>
        </w:rPr>
        <w:t>吉林德大在惠发街道等地建有7个线下直营店，公司在域内与2405家零售门店合作，产品覆盖餐饮网点3756家；德翔食品拥有老干妈等知名大企合作伙伴，吉林省第一书记做客线上直播间代言肉鸡产品，产品营销市场逐步扩大。</w:t>
      </w:r>
      <w:r>
        <w:rPr>
          <w:rFonts w:hint="eastAsia"/>
          <w:b w:val="0"/>
          <w:bCs w:val="0"/>
          <w:color w:val="auto"/>
          <w:highlight w:val="none"/>
          <w:lang w:val="en-US" w:eastAsia="zh-CN"/>
        </w:rPr>
        <w:t>肉鸡产业已成为德惠对外开放的亮丽名片，带动了饲料、运输、兽药、包装、餐饮等相关行业发展。</w:t>
      </w:r>
    </w:p>
    <w:p>
      <w:pPr>
        <w:pageBreakBefore w:val="0"/>
        <w:kinsoku/>
        <w:wordWrap/>
        <w:overflowPunct/>
        <w:topLinePunct w:val="0"/>
        <w:bidi w:val="0"/>
        <w:snapToGrid w:val="0"/>
        <w:spacing w:line="360" w:lineRule="auto"/>
        <w:ind w:firstLine="643"/>
        <w:rPr>
          <w:rFonts w:hint="eastAsia"/>
          <w:color w:val="auto"/>
        </w:rPr>
      </w:pPr>
      <w:r>
        <w:rPr>
          <w:rFonts w:hint="eastAsia"/>
          <w:b/>
          <w:bCs/>
          <w:color w:val="auto"/>
        </w:rPr>
        <w:t>经营主体实力雄厚</w:t>
      </w:r>
      <w:r>
        <w:rPr>
          <w:rFonts w:hint="eastAsia"/>
          <w:color w:val="auto"/>
        </w:rPr>
        <w:t>。</w:t>
      </w:r>
      <w:r>
        <w:rPr>
          <w:rFonts w:hint="eastAsia" w:ascii="仿宋" w:hAnsi="仿宋" w:eastAsia="仿宋"/>
          <w:b w:val="0"/>
          <w:bCs/>
          <w:color w:val="auto"/>
          <w:highlight w:val="none"/>
        </w:rPr>
        <w:t>积极培育新型农业经营主体，鼓励成立家庭农场和种植大户。通过宣传引导、示范带动、政策吸引等措施，培育了一批产业特色明显、带动</w:t>
      </w:r>
      <w:r>
        <w:rPr>
          <w:rFonts w:hint="eastAsia" w:ascii="仿宋" w:hAnsi="仿宋"/>
          <w:b w:val="0"/>
          <w:bCs/>
          <w:color w:val="auto"/>
          <w:highlight w:val="none"/>
          <w:lang w:val="en-US" w:eastAsia="zh-CN"/>
        </w:rPr>
        <w:t>力</w:t>
      </w:r>
      <w:r>
        <w:rPr>
          <w:rFonts w:hint="eastAsia" w:ascii="仿宋" w:hAnsi="仿宋" w:eastAsia="仿宋"/>
          <w:b w:val="0"/>
          <w:bCs/>
          <w:color w:val="auto"/>
          <w:highlight w:val="none"/>
        </w:rPr>
        <w:t>强、运行规范的新型经营主体，成为产业园发展的主导力量。</w:t>
      </w:r>
      <w:r>
        <w:rPr>
          <w:rFonts w:hint="eastAsia"/>
          <w:color w:val="auto"/>
        </w:rPr>
        <w:t>肉鸡产业领域现有德大、德翔牧业、吉星、德翔食品4个</w:t>
      </w:r>
      <w:r>
        <w:rPr>
          <w:rFonts w:hint="eastAsia"/>
          <w:color w:val="auto"/>
          <w:lang w:val="en-US" w:eastAsia="zh-CN"/>
        </w:rPr>
        <w:t>肉鸡领域</w:t>
      </w:r>
      <w:r>
        <w:rPr>
          <w:rFonts w:hint="eastAsia"/>
          <w:color w:val="auto"/>
        </w:rPr>
        <w:t>国家级龙头企业，有禾丰1个上市公司，有</w:t>
      </w:r>
      <w:r>
        <w:rPr>
          <w:rFonts w:hint="eastAsia"/>
          <w:color w:val="auto"/>
          <w:lang w:val="en-US" w:eastAsia="zh-CN"/>
        </w:rPr>
        <w:t>9</w:t>
      </w:r>
      <w:r>
        <w:rPr>
          <w:rFonts w:hint="eastAsia"/>
          <w:color w:val="auto"/>
        </w:rPr>
        <w:t>个</w:t>
      </w:r>
      <w:r>
        <w:rPr>
          <w:rFonts w:hint="eastAsia"/>
          <w:color w:val="auto"/>
          <w:lang w:val="en-US" w:eastAsia="zh-CN"/>
        </w:rPr>
        <w:t>肉鸡产业相关</w:t>
      </w:r>
      <w:r>
        <w:rPr>
          <w:rFonts w:hint="eastAsia"/>
          <w:color w:val="auto"/>
        </w:rPr>
        <w:t>省级龙头企业</w:t>
      </w:r>
      <w:r>
        <w:rPr>
          <w:rFonts w:hint="eastAsia"/>
          <w:color w:val="auto"/>
          <w:lang w:eastAsia="zh-CN"/>
        </w:rPr>
        <w:t>（</w:t>
      </w:r>
      <w:r>
        <w:rPr>
          <w:rFonts w:hint="eastAsia"/>
          <w:color w:val="auto"/>
          <w:lang w:val="en-US" w:eastAsia="zh-CN"/>
        </w:rPr>
        <w:t>耘垦牧业、德生牧业、春升牧业、凤宇牧业、双丰牧业、新希望饲料、阔源食品、禾丰食品、永旭牧业</w:t>
      </w:r>
      <w:r>
        <w:rPr>
          <w:rFonts w:hint="eastAsia"/>
          <w:color w:val="auto"/>
          <w:lang w:eastAsia="zh-CN"/>
        </w:rPr>
        <w:t>）</w:t>
      </w:r>
      <w:r>
        <w:rPr>
          <w:rFonts w:hint="eastAsia"/>
          <w:color w:val="auto"/>
        </w:rPr>
        <w:t>、12个长春市级龙头企业、</w:t>
      </w:r>
      <w:r>
        <w:rPr>
          <w:rFonts w:hint="eastAsia"/>
          <w:color w:val="auto"/>
          <w:lang w:val="en-US" w:eastAsia="zh-CN"/>
        </w:rPr>
        <w:t>321</w:t>
      </w:r>
      <w:r>
        <w:rPr>
          <w:rFonts w:hint="eastAsia"/>
          <w:color w:val="auto"/>
        </w:rPr>
        <w:t>家肉鸡合作社、家庭农场等新型经营主体，形成了外资企业、外省企业、本地企业群龙竞舞的良好局面，辐射带动榆树、九台、农安、扶余、舒兰等周边县市区肉鸡</w:t>
      </w:r>
      <w:r>
        <w:rPr>
          <w:rFonts w:hint="eastAsia"/>
          <w:color w:val="auto"/>
          <w:lang w:val="en-US" w:eastAsia="zh-CN"/>
        </w:rPr>
        <w:t>产业高质量发展</w:t>
      </w:r>
      <w:r>
        <w:rPr>
          <w:rFonts w:hint="eastAsia"/>
          <w:color w:val="auto"/>
        </w:rPr>
        <w:t>。</w:t>
      </w:r>
    </w:p>
    <w:p>
      <w:pPr>
        <w:pStyle w:val="4"/>
        <w:pageBreakBefore w:val="0"/>
        <w:widowControl w:val="0"/>
        <w:kinsoku/>
        <w:wordWrap/>
        <w:overflowPunct/>
        <w:topLinePunct w:val="0"/>
        <w:autoSpaceDE/>
        <w:autoSpaceDN/>
        <w:bidi w:val="0"/>
        <w:adjustRightInd w:val="0"/>
        <w:snapToGrid w:val="0"/>
        <w:spacing w:before="0" w:beforeLines="0" w:after="0" w:line="360" w:lineRule="auto"/>
        <w:ind w:firstLine="640" w:firstLineChars="200"/>
        <w:jc w:val="left"/>
        <w:textAlignment w:val="auto"/>
        <w:rPr>
          <w:rFonts w:hint="eastAsia" w:ascii="Times New Roman" w:hAnsi="Times New Roman" w:cs="Times New Roman"/>
          <w:b w:val="0"/>
          <w:bCs w:val="0"/>
          <w:color w:val="auto"/>
          <w:kern w:val="44"/>
          <w:sz w:val="32"/>
          <w:szCs w:val="32"/>
          <w:lang w:val="en-US" w:eastAsia="zh-CN"/>
        </w:rPr>
      </w:pPr>
      <w:bookmarkStart w:id="19" w:name="_Toc17864"/>
      <w:r>
        <w:rPr>
          <w:rFonts w:hint="eastAsia" w:cs="Times New Roman"/>
          <w:b w:val="0"/>
          <w:bCs w:val="0"/>
          <w:color w:val="auto"/>
          <w:kern w:val="44"/>
          <w:sz w:val="32"/>
          <w:szCs w:val="32"/>
          <w:lang w:val="en-US" w:eastAsia="zh-CN"/>
        </w:rPr>
        <w:t>二、</w:t>
      </w:r>
      <w:r>
        <w:rPr>
          <w:rFonts w:hint="eastAsia" w:ascii="Times New Roman" w:hAnsi="Times New Roman" w:cs="Times New Roman"/>
          <w:b w:val="0"/>
          <w:bCs w:val="0"/>
          <w:color w:val="auto"/>
          <w:kern w:val="44"/>
          <w:sz w:val="32"/>
          <w:szCs w:val="32"/>
          <w:lang w:val="en-US" w:eastAsia="zh-CN"/>
        </w:rPr>
        <w:t>中央财政奖补资金使用原则</w:t>
      </w:r>
      <w:bookmarkEnd w:id="19"/>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专款专用原则。</w:t>
      </w:r>
      <w:r>
        <w:rPr>
          <w:rFonts w:hint="eastAsia" w:ascii="仿宋" w:hAnsi="仿宋" w:eastAsia="仿宋"/>
          <w:color w:val="auto"/>
          <w:sz w:val="32"/>
          <w:szCs w:val="32"/>
          <w:highlight w:val="none"/>
        </w:rPr>
        <w:t>财政资金必须按规定用于经批准的项目，任何单位和个人不得截留、挤占和挪用。应当按规定用途使用专项资金，未经批准，不得变更项目内容或者调整预算。确需变更项目内容或者调整预算的，应当按项目和资金管理权限逐级上报原审批部门，经批准后方可变更。</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整合使用原则。</w:t>
      </w:r>
      <w:r>
        <w:rPr>
          <w:rFonts w:hint="eastAsia" w:ascii="仿宋" w:hAnsi="仿宋" w:eastAsia="仿宋" w:cs="仿宋"/>
          <w:color w:val="auto"/>
          <w:sz w:val="32"/>
          <w:szCs w:val="32"/>
        </w:rPr>
        <w:t>在不改变资金性质、用途的前提下，以政府为主导，以规划为引导，以产业为平台，以统筹为核心，建立财政专项资金统筹安排、集中投入、规范管理的涉农项目整合办公室为主的新的运行机制。以优化配置财政资源，放大财政资金效应，提高财政资金整体效益。</w:t>
      </w:r>
    </w:p>
    <w:p>
      <w:pPr>
        <w:keepNext w:val="0"/>
        <w:keepLines w:val="0"/>
        <w:pageBreakBefore w:val="0"/>
        <w:widowControl w:val="0"/>
        <w:kinsoku/>
        <w:wordWrap/>
        <w:overflowPunct/>
        <w:topLinePunct w:val="0"/>
        <w:autoSpaceDE/>
        <w:autoSpaceDN/>
        <w:bidi w:val="0"/>
        <w:snapToGrid/>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集中支付原则。</w:t>
      </w:r>
      <w:r>
        <w:rPr>
          <w:rFonts w:hint="eastAsia" w:ascii="仿宋" w:hAnsi="仿宋" w:eastAsia="仿宋" w:cs="仿宋"/>
          <w:color w:val="auto"/>
          <w:sz w:val="32"/>
          <w:szCs w:val="32"/>
        </w:rPr>
        <w:t>所有专项资金（除国家政策有特别规定的从特别规定外）拨付一般都应纳入国库集中支付管理。资金拨付除项目管理费、前期费等资金可拨付到项目管理部门外，其</w:t>
      </w:r>
      <w:r>
        <w:rPr>
          <w:rFonts w:hint="eastAsia" w:ascii="仿宋" w:hAnsi="仿宋" w:cs="仿宋"/>
          <w:color w:val="auto"/>
          <w:sz w:val="32"/>
          <w:szCs w:val="32"/>
          <w:lang w:val="en-US" w:eastAsia="zh-CN"/>
        </w:rPr>
        <w:t>他</w:t>
      </w:r>
      <w:r>
        <w:rPr>
          <w:rFonts w:hint="eastAsia" w:ascii="仿宋" w:hAnsi="仿宋" w:eastAsia="仿宋" w:cs="仿宋"/>
          <w:color w:val="auto"/>
          <w:sz w:val="32"/>
          <w:szCs w:val="32"/>
        </w:rPr>
        <w:t>用于工程、货物、服务类等资金支出由财政部门直接拨付到承包商、供应商和劳务提供者。</w:t>
      </w:r>
    </w:p>
    <w:p>
      <w:pPr>
        <w:keepNext w:val="0"/>
        <w:keepLines w:val="0"/>
        <w:pageBreakBefore w:val="0"/>
        <w:widowControl w:val="0"/>
        <w:kinsoku/>
        <w:wordWrap/>
        <w:overflowPunct/>
        <w:topLinePunct w:val="0"/>
        <w:autoSpaceDE/>
        <w:autoSpaceDN/>
        <w:bidi w:val="0"/>
        <w:adjustRightInd w:val="0"/>
        <w:snapToGrid/>
        <w:spacing w:line="360" w:lineRule="auto"/>
        <w:ind w:firstLine="643" w:firstLineChars="200"/>
        <w:textAlignment w:val="auto"/>
        <w:rPr>
          <w:rFonts w:hint="eastAsia" w:ascii="仿宋" w:hAnsi="仿宋" w:eastAsia="仿宋"/>
          <w:color w:val="auto"/>
          <w:sz w:val="32"/>
          <w:szCs w:val="32"/>
          <w:highlight w:val="none"/>
        </w:rPr>
      </w:pPr>
      <w:r>
        <w:rPr>
          <w:rFonts w:hint="eastAsia" w:ascii="仿宋" w:hAnsi="仿宋" w:eastAsia="仿宋"/>
          <w:b/>
          <w:color w:val="auto"/>
          <w:sz w:val="32"/>
          <w:szCs w:val="32"/>
          <w:highlight w:val="none"/>
        </w:rPr>
        <w:t>公益性原则。</w:t>
      </w:r>
      <w:r>
        <w:rPr>
          <w:rFonts w:hint="eastAsia" w:ascii="仿宋" w:hAnsi="仿宋" w:eastAsia="仿宋"/>
          <w:color w:val="auto"/>
          <w:sz w:val="32"/>
          <w:szCs w:val="32"/>
          <w:highlight w:val="none"/>
        </w:rPr>
        <w:t>坚持维护社会公共利益，将财政资金应用于有利于</w:t>
      </w:r>
      <w:r>
        <w:rPr>
          <w:rFonts w:hint="eastAsia" w:ascii="仿宋" w:hAnsi="仿宋"/>
          <w:color w:val="auto"/>
          <w:sz w:val="32"/>
          <w:szCs w:val="32"/>
          <w:highlight w:val="none"/>
          <w:lang w:val="en-US" w:eastAsia="zh-CN"/>
        </w:rPr>
        <w:t>农牧业</w:t>
      </w:r>
      <w:r>
        <w:rPr>
          <w:rFonts w:hint="eastAsia" w:ascii="仿宋" w:hAnsi="仿宋" w:eastAsia="仿宋"/>
          <w:color w:val="auto"/>
          <w:sz w:val="32"/>
          <w:szCs w:val="32"/>
          <w:highlight w:val="none"/>
        </w:rPr>
        <w:t>高质量创新发展的项目建设、增强农村经济发展潜力的项目建设，使大多数农民受益，推动乡村全面振兴。</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仿宋" w:hAnsi="仿宋" w:eastAsia="仿宋"/>
          <w:color w:val="auto"/>
          <w:sz w:val="32"/>
          <w:szCs w:val="32"/>
          <w:highlight w:val="none"/>
        </w:rPr>
      </w:pPr>
      <w:r>
        <w:rPr>
          <w:rFonts w:hint="eastAsia" w:ascii="仿宋" w:hAnsi="仿宋" w:eastAsia="仿宋"/>
          <w:b/>
          <w:color w:val="auto"/>
          <w:sz w:val="32"/>
          <w:szCs w:val="32"/>
          <w:highlight w:val="none"/>
        </w:rPr>
        <w:t>公开透明原则。</w:t>
      </w:r>
      <w:r>
        <w:rPr>
          <w:rFonts w:hint="eastAsia" w:ascii="仿宋" w:hAnsi="仿宋" w:eastAsia="仿宋"/>
          <w:color w:val="auto"/>
          <w:sz w:val="32"/>
          <w:szCs w:val="32"/>
          <w:highlight w:val="none"/>
        </w:rPr>
        <w:t>财政资金投资的工程项目，必须</w:t>
      </w:r>
      <w:r>
        <w:rPr>
          <w:rFonts w:hint="eastAsia" w:ascii="仿宋" w:hAnsi="仿宋"/>
          <w:color w:val="auto"/>
          <w:sz w:val="32"/>
          <w:szCs w:val="32"/>
          <w:highlight w:val="none"/>
          <w:lang w:val="en-US" w:eastAsia="zh-CN"/>
        </w:rPr>
        <w:t>在政府网站进行公示</w:t>
      </w:r>
      <w:r>
        <w:rPr>
          <w:rFonts w:hint="eastAsia" w:ascii="仿宋" w:hAnsi="仿宋" w:eastAsia="仿宋"/>
          <w:color w:val="auto"/>
          <w:sz w:val="32"/>
          <w:szCs w:val="32"/>
          <w:highlight w:val="none"/>
        </w:rPr>
        <w:t>。市农业主管部门应当组织核实资金支持对象的资格、条件，督促检查项目任务完成情况，为财政部门按规定标准分配、审核拨付资金提供依据。</w:t>
      </w:r>
    </w:p>
    <w:p>
      <w:pPr>
        <w:pStyle w:val="4"/>
        <w:pageBreakBefore w:val="0"/>
        <w:widowControl w:val="0"/>
        <w:numPr>
          <w:ilvl w:val="0"/>
          <w:numId w:val="1"/>
        </w:numPr>
        <w:kinsoku/>
        <w:wordWrap/>
        <w:overflowPunct/>
        <w:topLinePunct w:val="0"/>
        <w:autoSpaceDE/>
        <w:autoSpaceDN/>
        <w:bidi w:val="0"/>
        <w:adjustRightInd w:val="0"/>
        <w:snapToGrid w:val="0"/>
        <w:spacing w:before="0" w:beforeLines="0" w:after="0" w:line="360" w:lineRule="auto"/>
        <w:ind w:firstLine="640" w:firstLineChars="200"/>
        <w:jc w:val="left"/>
        <w:textAlignment w:val="auto"/>
        <w:rPr>
          <w:rFonts w:hint="eastAsia" w:ascii="Times New Roman" w:hAnsi="Times New Roman" w:cs="Times New Roman"/>
          <w:b w:val="0"/>
          <w:bCs w:val="0"/>
          <w:color w:val="auto"/>
          <w:kern w:val="44"/>
          <w:sz w:val="32"/>
          <w:szCs w:val="32"/>
          <w:lang w:val="en-US" w:eastAsia="zh-CN"/>
        </w:rPr>
      </w:pPr>
      <w:bookmarkStart w:id="20" w:name="_Toc31194"/>
      <w:r>
        <w:rPr>
          <w:rFonts w:hint="eastAsia" w:ascii="Times New Roman" w:hAnsi="Times New Roman" w:cs="Times New Roman"/>
          <w:b w:val="0"/>
          <w:bCs w:val="0"/>
          <w:color w:val="auto"/>
          <w:kern w:val="44"/>
          <w:sz w:val="32"/>
          <w:szCs w:val="32"/>
          <w:lang w:val="en-US" w:eastAsia="zh-CN"/>
        </w:rPr>
        <w:t>中央财政奖补资金支持内容</w:t>
      </w:r>
      <w:bookmarkEnd w:id="20"/>
    </w:p>
    <w:p>
      <w:pPr>
        <w:snapToGrid w:val="0"/>
        <w:spacing w:line="360" w:lineRule="auto"/>
        <w:ind w:firstLine="640" w:firstLineChars="200"/>
        <w:rPr>
          <w:rFonts w:hint="default" w:ascii="Times New Roman" w:hAnsi="Times New Roman" w:eastAsia="仿宋" w:cs="Times New Roman"/>
          <w:color w:val="auto"/>
          <w:sz w:val="32"/>
          <w:szCs w:val="48"/>
          <w:highlight w:val="none"/>
        </w:rPr>
      </w:pPr>
      <w:r>
        <w:rPr>
          <w:rFonts w:hint="default" w:ascii="Times New Roman" w:hAnsi="Times New Roman" w:eastAsia="仿宋" w:cs="Times New Roman"/>
          <w:color w:val="auto"/>
          <w:kern w:val="44"/>
          <w:sz w:val="32"/>
          <w:szCs w:val="32"/>
          <w:highlight w:val="none"/>
        </w:rPr>
        <w:t>20</w:t>
      </w:r>
      <w:r>
        <w:rPr>
          <w:rFonts w:hint="default" w:ascii="Times New Roman" w:hAnsi="Times New Roman" w:cs="Times New Roman"/>
          <w:color w:val="auto"/>
          <w:kern w:val="44"/>
          <w:sz w:val="32"/>
          <w:szCs w:val="32"/>
          <w:highlight w:val="none"/>
          <w:lang w:val="en-US" w:eastAsia="zh-CN"/>
        </w:rPr>
        <w:t>24-2026</w:t>
      </w:r>
      <w:r>
        <w:rPr>
          <w:rFonts w:hint="default" w:ascii="Times New Roman" w:hAnsi="Times New Roman" w:eastAsia="仿宋" w:cs="Times New Roman"/>
          <w:color w:val="auto"/>
          <w:kern w:val="44"/>
          <w:sz w:val="32"/>
          <w:szCs w:val="32"/>
          <w:highlight w:val="none"/>
        </w:rPr>
        <w:t>年，中央财政资金</w:t>
      </w:r>
      <w:r>
        <w:rPr>
          <w:rFonts w:hint="eastAsia" w:cs="Times New Roman"/>
          <w:color w:val="auto"/>
          <w:kern w:val="44"/>
          <w:sz w:val="32"/>
          <w:szCs w:val="32"/>
          <w:highlight w:val="none"/>
          <w:lang w:val="en-US" w:eastAsia="zh-CN"/>
        </w:rPr>
        <w:t>7000万</w:t>
      </w:r>
      <w:r>
        <w:rPr>
          <w:rFonts w:hint="default" w:ascii="Times New Roman" w:hAnsi="Times New Roman" w:eastAsia="仿宋" w:cs="Times New Roman"/>
          <w:color w:val="auto"/>
          <w:kern w:val="44"/>
          <w:sz w:val="32"/>
          <w:szCs w:val="32"/>
          <w:highlight w:val="none"/>
        </w:rPr>
        <w:t>元拟投入产业链供应链完善提升工程、科技创新平台建设工程、</w:t>
      </w:r>
      <w:r>
        <w:rPr>
          <w:rFonts w:hint="eastAsia" w:cs="Times New Roman"/>
          <w:color w:val="auto"/>
          <w:kern w:val="44"/>
          <w:sz w:val="32"/>
          <w:szCs w:val="32"/>
          <w:highlight w:val="none"/>
          <w:lang w:val="en-US" w:eastAsia="zh-CN"/>
        </w:rPr>
        <w:t>联农带农增收工程</w:t>
      </w:r>
      <w:r>
        <w:rPr>
          <w:rFonts w:hint="default" w:ascii="Times New Roman" w:hAnsi="Times New Roman" w:cs="Times New Roman"/>
          <w:color w:val="auto"/>
          <w:kern w:val="44"/>
          <w:sz w:val="32"/>
          <w:szCs w:val="32"/>
          <w:highlight w:val="none"/>
          <w:lang w:val="en-US" w:eastAsia="zh-CN"/>
        </w:rPr>
        <w:t>等</w:t>
      </w:r>
      <w:r>
        <w:rPr>
          <w:rFonts w:hint="eastAsia" w:cs="Times New Roman"/>
          <w:color w:val="auto"/>
          <w:kern w:val="44"/>
          <w:sz w:val="32"/>
          <w:szCs w:val="32"/>
          <w:highlight w:val="none"/>
          <w:lang w:val="en-US" w:eastAsia="zh-CN"/>
        </w:rPr>
        <w:t>三</w:t>
      </w:r>
      <w:r>
        <w:rPr>
          <w:rFonts w:hint="default" w:ascii="Times New Roman" w:hAnsi="Times New Roman" w:eastAsia="仿宋" w:cs="Times New Roman"/>
          <w:color w:val="auto"/>
          <w:kern w:val="44"/>
          <w:sz w:val="32"/>
          <w:szCs w:val="32"/>
          <w:highlight w:val="none"/>
        </w:rPr>
        <w:t>大工程</w:t>
      </w:r>
      <w:r>
        <w:rPr>
          <w:rFonts w:hint="eastAsia" w:cs="Times New Roman"/>
          <w:color w:val="auto"/>
          <w:kern w:val="44"/>
          <w:sz w:val="32"/>
          <w:szCs w:val="32"/>
          <w:highlight w:val="none"/>
          <w:lang w:val="en-US" w:eastAsia="zh-CN"/>
        </w:rPr>
        <w:t>7</w:t>
      </w:r>
      <w:r>
        <w:rPr>
          <w:rFonts w:hint="default" w:ascii="Times New Roman" w:hAnsi="Times New Roman" w:eastAsia="仿宋" w:cs="Times New Roman"/>
          <w:color w:val="auto"/>
          <w:kern w:val="44"/>
          <w:sz w:val="32"/>
          <w:szCs w:val="32"/>
          <w:highlight w:val="none"/>
        </w:rPr>
        <w:t>个项目</w:t>
      </w:r>
      <w:r>
        <w:rPr>
          <w:rFonts w:hint="default" w:ascii="Times New Roman" w:hAnsi="Times New Roman" w:eastAsia="仿宋" w:cs="Times New Roman"/>
          <w:color w:val="auto"/>
          <w:sz w:val="32"/>
          <w:szCs w:val="48"/>
          <w:highlight w:val="none"/>
        </w:rPr>
        <w:t>。</w:t>
      </w:r>
    </w:p>
    <w:p>
      <w:pPr>
        <w:pStyle w:val="5"/>
        <w:pageBreakBefore w:val="0"/>
        <w:kinsoku/>
        <w:wordWrap/>
        <w:overflowPunct/>
        <w:topLinePunct w:val="0"/>
        <w:autoSpaceDE/>
        <w:autoSpaceDN/>
        <w:bidi w:val="0"/>
        <w:adjustRightInd w:val="0"/>
        <w:snapToGrid w:val="0"/>
        <w:spacing w:before="0" w:beforeLines="-2147483648" w:after="0" w:afterLines="-2147483648" w:line="360" w:lineRule="auto"/>
        <w:ind w:firstLine="643" w:firstLineChars="200"/>
        <w:textAlignment w:val="auto"/>
        <w:rPr>
          <w:rFonts w:hint="default" w:ascii="Times New Roman" w:hAnsi="Times New Roman" w:eastAsia="楷体" w:cs="Times New Roman"/>
          <w:bCs/>
          <w:color w:val="auto"/>
          <w:lang w:val="en-US" w:eastAsia="zh-CN"/>
        </w:rPr>
      </w:pPr>
      <w:bookmarkStart w:id="21" w:name="_Toc21063"/>
      <w:bookmarkStart w:id="22" w:name="_Toc32756"/>
      <w:r>
        <w:rPr>
          <w:rFonts w:hint="eastAsia" w:ascii="Times New Roman" w:hAnsi="Times New Roman" w:eastAsia="楷体" w:cs="Times New Roman"/>
          <w:bCs/>
          <w:color w:val="auto"/>
          <w:lang w:val="en-US" w:eastAsia="zh-CN"/>
        </w:rPr>
        <w:t>（一）</w:t>
      </w:r>
      <w:bookmarkEnd w:id="21"/>
      <w:r>
        <w:rPr>
          <w:rFonts w:hint="eastAsia" w:ascii="Times New Roman" w:hAnsi="Times New Roman" w:eastAsia="楷体" w:cs="Times New Roman"/>
          <w:bCs/>
          <w:color w:val="auto"/>
          <w:lang w:val="en-US" w:eastAsia="zh-CN"/>
        </w:rPr>
        <w:t>产业链供应链完善提升工程</w:t>
      </w:r>
      <w:bookmarkEnd w:id="22"/>
    </w:p>
    <w:p>
      <w:pPr>
        <w:pStyle w:val="6"/>
        <w:pageBreakBefore w:val="0"/>
        <w:kinsoku/>
        <w:wordWrap/>
        <w:overflowPunct/>
        <w:topLinePunct w:val="0"/>
        <w:bidi w:val="0"/>
        <w:snapToGrid w:val="0"/>
        <w:spacing w:after="0" w:afterLines="-2147483648" w:line="360" w:lineRule="auto"/>
        <w:ind w:firstLine="643"/>
        <w:rPr>
          <w:rFonts w:hint="default" w:ascii="Times New Roman Regular" w:hAnsi="Times New Roman Regular" w:eastAsia="楷体" w:cs="Times New Roman Regular"/>
          <w:b/>
          <w:bCs w:val="0"/>
          <w:color w:val="auto"/>
          <w:highlight w:val="none"/>
          <w:lang w:val="en-US" w:eastAsia="zh-CN"/>
        </w:rPr>
      </w:pPr>
      <w:r>
        <w:rPr>
          <w:rFonts w:hint="eastAsia" w:ascii="Times New Roman Regular" w:hAnsi="Times New Roman Regular" w:eastAsia="楷体" w:cs="Times New Roman Regular"/>
          <w:b/>
          <w:bCs w:val="0"/>
          <w:color w:val="auto"/>
          <w:highlight w:val="none"/>
          <w:lang w:val="en-US" w:eastAsia="zh-CN"/>
        </w:rPr>
        <w:t>1.德惠市肉鸡现代化孵化平台建设项目</w:t>
      </w:r>
    </w:p>
    <w:p>
      <w:pPr>
        <w:pageBreakBefore w:val="0"/>
        <w:numPr>
          <w:ilvl w:val="0"/>
          <w:numId w:val="0"/>
        </w:numPr>
        <w:kinsoku/>
        <w:wordWrap/>
        <w:overflowPunct/>
        <w:topLinePunct w:val="0"/>
        <w:bidi w:val="0"/>
        <w:snapToGrid w:val="0"/>
        <w:spacing w:line="360" w:lineRule="auto"/>
        <w:ind w:firstLine="640" w:firstLineChars="200"/>
        <w:rPr>
          <w:rFonts w:hint="eastAsia"/>
          <w:color w:val="auto"/>
          <w:lang w:val="en-US" w:eastAsia="zh-CN"/>
        </w:rPr>
      </w:pPr>
      <w:r>
        <w:rPr>
          <w:rFonts w:hint="eastAsia"/>
          <w:color w:val="auto"/>
          <w:lang w:val="en-US" w:eastAsia="zh-CN"/>
        </w:rPr>
        <w:t>建设内容：项目占地面积约40000平方米，总建筑面积7000平方米，孵化中心内设种蛋库、孵化间、出雏间、检疫间、冲洗消毒间等功能单元，年可孵化鸡雏1.5亿只，打造现代化肉鸡孵化平台，为入园企业提供鸡雏孵化公共服务。吉林省万禾养殖有限公司负责孵化中心基础设施建设，德惠市国有资本投资运营（集团）有限公司使用中央财政奖补资金拟投入智能化孵化设备。</w:t>
      </w:r>
    </w:p>
    <w:p>
      <w:pPr>
        <w:pageBreakBefore w:val="0"/>
        <w:numPr>
          <w:ilvl w:val="0"/>
          <w:numId w:val="0"/>
        </w:numPr>
        <w:kinsoku/>
        <w:wordWrap/>
        <w:overflowPunct/>
        <w:topLinePunct w:val="0"/>
        <w:bidi w:val="0"/>
        <w:snapToGrid w:val="0"/>
        <w:spacing w:line="360" w:lineRule="auto"/>
        <w:ind w:firstLine="640" w:firstLineChars="200"/>
        <w:rPr>
          <w:rFonts w:hint="default"/>
          <w:color w:val="auto"/>
          <w:lang w:val="en-US" w:eastAsia="zh-CN"/>
        </w:rPr>
      </w:pPr>
      <w:r>
        <w:rPr>
          <w:rFonts w:hint="eastAsia"/>
          <w:color w:val="auto"/>
          <w:lang w:val="en-US" w:eastAsia="zh-CN"/>
        </w:rPr>
        <w:t>支持金额：拟使用中央财政资金800万元，均为2024年投入。</w:t>
      </w:r>
    </w:p>
    <w:p>
      <w:pPr>
        <w:pageBreakBefore w:val="0"/>
        <w:numPr>
          <w:ilvl w:val="0"/>
          <w:numId w:val="0"/>
        </w:numPr>
        <w:kinsoku/>
        <w:wordWrap/>
        <w:overflowPunct/>
        <w:topLinePunct w:val="0"/>
        <w:bidi w:val="0"/>
        <w:snapToGrid w:val="0"/>
        <w:spacing w:line="360" w:lineRule="auto"/>
        <w:ind w:firstLine="640" w:firstLineChars="200"/>
        <w:rPr>
          <w:rFonts w:hint="default"/>
          <w:color w:val="auto"/>
          <w:lang w:val="en-US" w:eastAsia="zh-CN"/>
        </w:rPr>
      </w:pPr>
      <w:r>
        <w:rPr>
          <w:rFonts w:hint="eastAsia"/>
          <w:color w:val="auto"/>
          <w:lang w:val="en-US" w:eastAsia="zh-CN"/>
        </w:rPr>
        <w:t>支持方式：直接投入</w:t>
      </w:r>
    </w:p>
    <w:p>
      <w:pPr>
        <w:pageBreakBefore w:val="0"/>
        <w:numPr>
          <w:ilvl w:val="0"/>
          <w:numId w:val="0"/>
        </w:numPr>
        <w:kinsoku/>
        <w:wordWrap/>
        <w:overflowPunct/>
        <w:topLinePunct w:val="0"/>
        <w:bidi w:val="0"/>
        <w:snapToGrid w:val="0"/>
        <w:spacing w:line="360" w:lineRule="auto"/>
        <w:ind w:firstLine="640" w:firstLineChars="200"/>
        <w:rPr>
          <w:rFonts w:hint="eastAsia"/>
          <w:color w:val="auto"/>
          <w:lang w:val="en-US" w:eastAsia="zh-CN"/>
        </w:rPr>
      </w:pPr>
      <w:r>
        <w:rPr>
          <w:rFonts w:hint="eastAsia"/>
          <w:color w:val="auto"/>
          <w:lang w:val="en-US" w:eastAsia="zh-CN"/>
        </w:rPr>
        <w:t>建设主体：吉林省万禾养殖有限公司、德惠市国有资本投资运营（集团）有限公司</w:t>
      </w:r>
    </w:p>
    <w:p>
      <w:pPr>
        <w:pageBreakBefore w:val="0"/>
        <w:numPr>
          <w:ilvl w:val="0"/>
          <w:numId w:val="0"/>
        </w:numPr>
        <w:kinsoku/>
        <w:wordWrap/>
        <w:overflowPunct/>
        <w:topLinePunct w:val="0"/>
        <w:bidi w:val="0"/>
        <w:snapToGrid w:val="0"/>
        <w:spacing w:line="360" w:lineRule="auto"/>
        <w:ind w:firstLine="640" w:firstLineChars="200"/>
        <w:rPr>
          <w:rFonts w:hint="default"/>
          <w:color w:val="auto"/>
          <w:lang w:val="en-US" w:eastAsia="zh-CN"/>
        </w:rPr>
      </w:pPr>
      <w:r>
        <w:rPr>
          <w:rFonts w:hint="eastAsia"/>
          <w:color w:val="auto"/>
          <w:lang w:val="en-US" w:eastAsia="zh-CN"/>
        </w:rPr>
        <w:t>建设地点：夏家店街道</w:t>
      </w:r>
    </w:p>
    <w:p>
      <w:pPr>
        <w:pageBreakBefore w:val="0"/>
        <w:numPr>
          <w:ilvl w:val="0"/>
          <w:numId w:val="0"/>
        </w:numPr>
        <w:kinsoku/>
        <w:wordWrap/>
        <w:overflowPunct/>
        <w:topLinePunct w:val="0"/>
        <w:bidi w:val="0"/>
        <w:snapToGrid w:val="0"/>
        <w:spacing w:line="360" w:lineRule="auto"/>
        <w:ind w:firstLine="640" w:firstLineChars="200"/>
        <w:rPr>
          <w:rFonts w:hint="eastAsia"/>
          <w:color w:val="auto"/>
          <w:lang w:val="en-US" w:eastAsia="zh-CN"/>
        </w:rPr>
      </w:pPr>
      <w:r>
        <w:rPr>
          <w:rFonts w:hint="eastAsia"/>
          <w:color w:val="auto"/>
          <w:lang w:val="en-US" w:eastAsia="zh-CN"/>
        </w:rPr>
        <w:t>建设年限：2024年</w:t>
      </w:r>
    </w:p>
    <w:p>
      <w:pPr>
        <w:pStyle w:val="6"/>
        <w:pageBreakBefore w:val="0"/>
        <w:numPr>
          <w:ilvl w:val="0"/>
          <w:numId w:val="0"/>
        </w:numPr>
        <w:kinsoku/>
        <w:wordWrap/>
        <w:overflowPunct/>
        <w:topLinePunct w:val="0"/>
        <w:bidi w:val="0"/>
        <w:snapToGrid w:val="0"/>
        <w:spacing w:after="0" w:afterLines="-2147483648" w:line="360" w:lineRule="auto"/>
        <w:ind w:firstLine="643" w:firstLineChars="200"/>
        <w:rPr>
          <w:rFonts w:hint="eastAsia" w:ascii="Times New Roman Regular" w:hAnsi="Times New Roman Regular" w:eastAsia="楷体" w:cs="Times New Roman Regular"/>
          <w:b/>
          <w:bCs w:val="0"/>
          <w:color w:val="auto"/>
          <w:highlight w:val="none"/>
          <w:lang w:val="en-US" w:eastAsia="zh-CN"/>
        </w:rPr>
      </w:pPr>
      <w:r>
        <w:rPr>
          <w:rFonts w:hint="eastAsia" w:ascii="Times New Roman Regular" w:hAnsi="Times New Roman Regular" w:eastAsia="楷体" w:cs="Times New Roman Regular"/>
          <w:b/>
          <w:bCs w:val="0"/>
          <w:color w:val="auto"/>
          <w:highlight w:val="none"/>
          <w:lang w:val="en-US" w:eastAsia="zh-CN"/>
        </w:rPr>
        <w:t>2.德惠市现代农业产业园农副产品冷库平台建设项目</w:t>
      </w:r>
    </w:p>
    <w:p>
      <w:pPr>
        <w:numPr>
          <w:ilvl w:val="0"/>
          <w:numId w:val="0"/>
        </w:numPr>
        <w:ind w:firstLine="640" w:firstLineChars="200"/>
        <w:rPr>
          <w:rFonts w:hint="eastAsia"/>
          <w:lang w:val="en-US" w:eastAsia="zh-CN"/>
        </w:rPr>
      </w:pPr>
      <w:r>
        <w:rPr>
          <w:rFonts w:hint="eastAsia"/>
          <w:lang w:val="en-US" w:eastAsia="zh-CN"/>
        </w:rPr>
        <w:t>建设内容：新建农副产品冷库1400平方米，储藏能力2600吨，为园区内企业提供农产品速冻、冷冻、贮藏等公共服务。吉林阔源食品厂负责冷库的基础设施建设，德惠市国有资本投资运营（集团）有限公司使用中央财政奖补资金拟投入冷库内的设施设备。</w:t>
      </w:r>
    </w:p>
    <w:p>
      <w:pPr>
        <w:pageBreakBefore w:val="0"/>
        <w:numPr>
          <w:ilvl w:val="0"/>
          <w:numId w:val="0"/>
        </w:numPr>
        <w:kinsoku/>
        <w:wordWrap/>
        <w:overflowPunct/>
        <w:topLinePunct w:val="0"/>
        <w:bidi w:val="0"/>
        <w:snapToGrid w:val="0"/>
        <w:spacing w:line="360" w:lineRule="auto"/>
        <w:ind w:firstLine="640" w:firstLineChars="200"/>
        <w:rPr>
          <w:rFonts w:hint="default"/>
          <w:color w:val="auto"/>
          <w:lang w:val="en-US" w:eastAsia="zh-CN"/>
        </w:rPr>
      </w:pPr>
      <w:r>
        <w:rPr>
          <w:rFonts w:hint="eastAsia"/>
          <w:lang w:val="en-US" w:eastAsia="zh-CN"/>
        </w:rPr>
        <w:t>支持金额：</w:t>
      </w:r>
      <w:r>
        <w:rPr>
          <w:rFonts w:hint="eastAsia"/>
          <w:color w:val="auto"/>
          <w:lang w:val="en-US" w:eastAsia="zh-CN"/>
        </w:rPr>
        <w:t>拟使用中央财政资金900万元，均为2026年投入。</w:t>
      </w:r>
    </w:p>
    <w:p>
      <w:pPr>
        <w:pageBreakBefore w:val="0"/>
        <w:numPr>
          <w:ilvl w:val="0"/>
          <w:numId w:val="0"/>
        </w:numPr>
        <w:kinsoku/>
        <w:wordWrap/>
        <w:overflowPunct/>
        <w:topLinePunct w:val="0"/>
        <w:bidi w:val="0"/>
        <w:snapToGrid w:val="0"/>
        <w:spacing w:line="360" w:lineRule="auto"/>
        <w:ind w:firstLine="640" w:firstLineChars="200"/>
        <w:rPr>
          <w:rFonts w:hint="default"/>
          <w:color w:val="auto"/>
          <w:lang w:val="en-US" w:eastAsia="zh-CN"/>
        </w:rPr>
      </w:pPr>
      <w:r>
        <w:rPr>
          <w:rFonts w:hint="eastAsia"/>
          <w:color w:val="auto"/>
          <w:lang w:val="en-US" w:eastAsia="zh-CN"/>
        </w:rPr>
        <w:t>支持方式：直接投入</w:t>
      </w:r>
    </w:p>
    <w:p>
      <w:pPr>
        <w:pageBreakBefore w:val="0"/>
        <w:numPr>
          <w:ilvl w:val="0"/>
          <w:numId w:val="0"/>
        </w:numPr>
        <w:kinsoku/>
        <w:wordWrap/>
        <w:overflowPunct/>
        <w:topLinePunct w:val="0"/>
        <w:bidi w:val="0"/>
        <w:snapToGrid w:val="0"/>
        <w:spacing w:line="360" w:lineRule="auto"/>
        <w:ind w:firstLine="640" w:firstLineChars="200"/>
        <w:rPr>
          <w:rFonts w:hint="eastAsia"/>
          <w:color w:val="auto"/>
          <w:lang w:val="en-US" w:eastAsia="zh-CN"/>
        </w:rPr>
      </w:pPr>
      <w:r>
        <w:rPr>
          <w:rFonts w:hint="eastAsia"/>
          <w:color w:val="auto"/>
          <w:lang w:val="en-US" w:eastAsia="zh-CN"/>
        </w:rPr>
        <w:t>建设主体：吉林阔源食品厂、德惠市国有资本投资运营（集团）有限公司</w:t>
      </w:r>
    </w:p>
    <w:p>
      <w:pPr>
        <w:pageBreakBefore w:val="0"/>
        <w:numPr>
          <w:ilvl w:val="0"/>
          <w:numId w:val="0"/>
        </w:numPr>
        <w:kinsoku/>
        <w:wordWrap/>
        <w:overflowPunct/>
        <w:topLinePunct w:val="0"/>
        <w:bidi w:val="0"/>
        <w:snapToGrid w:val="0"/>
        <w:spacing w:line="360" w:lineRule="auto"/>
        <w:ind w:firstLine="640" w:firstLineChars="200"/>
        <w:rPr>
          <w:rFonts w:hint="default"/>
          <w:color w:val="auto"/>
          <w:lang w:val="en-US" w:eastAsia="zh-CN"/>
        </w:rPr>
      </w:pPr>
      <w:r>
        <w:rPr>
          <w:rFonts w:hint="eastAsia"/>
          <w:color w:val="auto"/>
          <w:lang w:val="en-US" w:eastAsia="zh-CN"/>
        </w:rPr>
        <w:t>建设地点：夏家店街道</w:t>
      </w:r>
    </w:p>
    <w:p>
      <w:pPr>
        <w:pageBreakBefore w:val="0"/>
        <w:numPr>
          <w:ilvl w:val="0"/>
          <w:numId w:val="0"/>
        </w:numPr>
        <w:kinsoku/>
        <w:wordWrap/>
        <w:overflowPunct/>
        <w:topLinePunct w:val="0"/>
        <w:bidi w:val="0"/>
        <w:snapToGrid w:val="0"/>
        <w:spacing w:line="360" w:lineRule="auto"/>
        <w:ind w:firstLine="640" w:firstLineChars="200"/>
        <w:rPr>
          <w:rFonts w:hint="eastAsia"/>
          <w:color w:val="auto"/>
          <w:lang w:val="en-US" w:eastAsia="zh-CN"/>
        </w:rPr>
      </w:pPr>
      <w:r>
        <w:rPr>
          <w:rFonts w:hint="eastAsia"/>
          <w:color w:val="auto"/>
          <w:lang w:val="en-US" w:eastAsia="zh-CN"/>
        </w:rPr>
        <w:t>建设年限：2026年</w:t>
      </w:r>
    </w:p>
    <w:p>
      <w:pPr>
        <w:pStyle w:val="5"/>
        <w:pageBreakBefore w:val="0"/>
        <w:kinsoku/>
        <w:wordWrap/>
        <w:overflowPunct/>
        <w:topLinePunct w:val="0"/>
        <w:autoSpaceDE/>
        <w:autoSpaceDN/>
        <w:bidi w:val="0"/>
        <w:adjustRightInd w:val="0"/>
        <w:snapToGrid w:val="0"/>
        <w:spacing w:before="0" w:beforeLines="-2147483648" w:after="0" w:afterLines="-2147483648" w:line="360" w:lineRule="auto"/>
        <w:ind w:firstLine="643" w:firstLineChars="200"/>
        <w:textAlignment w:val="auto"/>
        <w:rPr>
          <w:rFonts w:hint="default" w:ascii="Times New Roman" w:hAnsi="Times New Roman" w:eastAsia="楷体" w:cs="Times New Roman"/>
          <w:bCs/>
          <w:color w:val="auto"/>
          <w:lang w:val="en-US" w:eastAsia="zh-CN"/>
        </w:rPr>
      </w:pPr>
      <w:bookmarkStart w:id="23" w:name="_Toc28833"/>
      <w:bookmarkStart w:id="24" w:name="_Toc25244"/>
      <w:r>
        <w:rPr>
          <w:rFonts w:hint="eastAsia" w:ascii="Times New Roman" w:hAnsi="Times New Roman" w:eastAsia="楷体" w:cs="Times New Roman"/>
          <w:bCs/>
          <w:color w:val="auto"/>
          <w:lang w:val="en-US" w:eastAsia="zh-CN"/>
        </w:rPr>
        <w:t>（</w:t>
      </w:r>
      <w:r>
        <w:rPr>
          <w:rFonts w:hint="eastAsia" w:eastAsia="楷体" w:cs="Times New Roman"/>
          <w:bCs/>
          <w:color w:val="auto"/>
          <w:lang w:val="en-US" w:eastAsia="zh-CN"/>
        </w:rPr>
        <w:t>二</w:t>
      </w:r>
      <w:r>
        <w:rPr>
          <w:rFonts w:hint="eastAsia" w:ascii="Times New Roman" w:hAnsi="Times New Roman" w:eastAsia="楷体" w:cs="Times New Roman"/>
          <w:bCs/>
          <w:color w:val="auto"/>
          <w:lang w:val="en-US" w:eastAsia="zh-CN"/>
        </w:rPr>
        <w:t>）科技创新平台建设工程</w:t>
      </w:r>
      <w:bookmarkEnd w:id="23"/>
      <w:bookmarkEnd w:id="24"/>
    </w:p>
    <w:p>
      <w:pPr>
        <w:pStyle w:val="6"/>
        <w:pageBreakBefore w:val="0"/>
        <w:kinsoku/>
        <w:wordWrap/>
        <w:overflowPunct/>
        <w:topLinePunct w:val="0"/>
        <w:bidi w:val="0"/>
        <w:snapToGrid w:val="0"/>
        <w:spacing w:after="0" w:afterLines="-2147483648" w:line="360" w:lineRule="auto"/>
        <w:ind w:firstLine="643"/>
        <w:rPr>
          <w:rFonts w:hint="default" w:ascii="Times New Roman Regular" w:hAnsi="Times New Roman Regular" w:eastAsia="楷体" w:cs="Times New Roman Regular"/>
          <w:b/>
          <w:bCs w:val="0"/>
          <w:color w:val="auto"/>
          <w:highlight w:val="none"/>
          <w:lang w:val="en-US" w:eastAsia="zh-CN"/>
        </w:rPr>
      </w:pPr>
      <w:r>
        <w:rPr>
          <w:rFonts w:hint="eastAsia" w:ascii="Times New Roman Regular" w:hAnsi="Times New Roman Regular" w:eastAsia="楷体" w:cs="Times New Roman Regular"/>
          <w:b/>
          <w:bCs w:val="0"/>
          <w:color w:val="auto"/>
          <w:highlight w:val="none"/>
          <w:lang w:val="en-US" w:eastAsia="zh-CN"/>
        </w:rPr>
        <w:t>1.德惠市边岗乡肉鸡良种繁育基地建设项目</w:t>
      </w:r>
    </w:p>
    <w:p>
      <w:pPr>
        <w:pageBreakBefore w:val="0"/>
        <w:numPr>
          <w:ilvl w:val="0"/>
          <w:numId w:val="0"/>
        </w:numPr>
        <w:kinsoku/>
        <w:wordWrap/>
        <w:overflowPunct/>
        <w:topLinePunct w:val="0"/>
        <w:bidi w:val="0"/>
        <w:snapToGrid w:val="0"/>
        <w:spacing w:line="360" w:lineRule="auto"/>
        <w:ind w:firstLine="640" w:firstLineChars="200"/>
        <w:rPr>
          <w:rFonts w:hint="default"/>
          <w:color w:val="auto"/>
          <w:lang w:val="en-US" w:eastAsia="zh-CN"/>
        </w:rPr>
      </w:pPr>
      <w:r>
        <w:rPr>
          <w:rFonts w:hint="eastAsia"/>
          <w:color w:val="auto"/>
          <w:lang w:val="en-US" w:eastAsia="zh-CN"/>
        </w:rPr>
        <w:t>建设内容：项目占地面积87013平方米，总建筑面积28133平方米，包括鸡舍13栋，配套科研房等设施。项目的建设将提高园内养殖户、企业种鸡育成质量，减少种鸡繁育、孵化环节造成的损失，带动农户增收、产业提质发展。吉林德翔牧业有限公司负责基地的基础设施建设，德惠市国有资本投资运营（集团）有限公司使用中央财政奖补资金拟投入孵化使用的设施设备。</w:t>
      </w:r>
    </w:p>
    <w:p>
      <w:pPr>
        <w:pageBreakBefore w:val="0"/>
        <w:numPr>
          <w:ilvl w:val="0"/>
          <w:numId w:val="0"/>
        </w:numPr>
        <w:kinsoku/>
        <w:wordWrap/>
        <w:overflowPunct/>
        <w:topLinePunct w:val="0"/>
        <w:bidi w:val="0"/>
        <w:snapToGrid w:val="0"/>
        <w:spacing w:line="360" w:lineRule="auto"/>
        <w:ind w:firstLine="640" w:firstLineChars="200"/>
        <w:rPr>
          <w:rFonts w:hint="default"/>
          <w:color w:val="auto"/>
          <w:lang w:val="en-US" w:eastAsia="zh-CN"/>
        </w:rPr>
      </w:pPr>
      <w:r>
        <w:rPr>
          <w:rFonts w:hint="eastAsia"/>
          <w:color w:val="auto"/>
          <w:lang w:val="en-US" w:eastAsia="zh-CN"/>
        </w:rPr>
        <w:t>支持金额：拟使用中央财政资金900万元，为2024年投入。</w:t>
      </w:r>
    </w:p>
    <w:p>
      <w:pPr>
        <w:pageBreakBefore w:val="0"/>
        <w:numPr>
          <w:ilvl w:val="0"/>
          <w:numId w:val="0"/>
        </w:numPr>
        <w:kinsoku/>
        <w:wordWrap/>
        <w:overflowPunct/>
        <w:topLinePunct w:val="0"/>
        <w:bidi w:val="0"/>
        <w:snapToGrid w:val="0"/>
        <w:spacing w:line="360" w:lineRule="auto"/>
        <w:ind w:firstLine="640" w:firstLineChars="200"/>
        <w:rPr>
          <w:rFonts w:hint="default"/>
          <w:color w:val="auto"/>
          <w:lang w:val="en-US" w:eastAsia="zh-CN"/>
        </w:rPr>
      </w:pPr>
      <w:r>
        <w:rPr>
          <w:rFonts w:hint="eastAsia"/>
          <w:color w:val="auto"/>
          <w:lang w:val="en-US" w:eastAsia="zh-CN"/>
        </w:rPr>
        <w:t>支持方式：直接投入</w:t>
      </w:r>
    </w:p>
    <w:p>
      <w:pPr>
        <w:pageBreakBefore w:val="0"/>
        <w:numPr>
          <w:ilvl w:val="0"/>
          <w:numId w:val="0"/>
        </w:numPr>
        <w:kinsoku/>
        <w:wordWrap/>
        <w:overflowPunct/>
        <w:topLinePunct w:val="0"/>
        <w:bidi w:val="0"/>
        <w:snapToGrid w:val="0"/>
        <w:spacing w:line="360" w:lineRule="auto"/>
        <w:ind w:firstLine="640" w:firstLineChars="200"/>
        <w:rPr>
          <w:rFonts w:hint="default"/>
          <w:color w:val="auto"/>
          <w:lang w:val="en-US" w:eastAsia="zh-CN"/>
        </w:rPr>
      </w:pPr>
      <w:r>
        <w:rPr>
          <w:rFonts w:hint="eastAsia"/>
          <w:color w:val="auto"/>
          <w:lang w:val="en-US" w:eastAsia="zh-CN"/>
        </w:rPr>
        <w:t>建设主体：吉林德翔牧业有限公司、德惠市国有资本投资运营（集团）有限公司</w:t>
      </w:r>
    </w:p>
    <w:p>
      <w:pPr>
        <w:pageBreakBefore w:val="0"/>
        <w:numPr>
          <w:ilvl w:val="0"/>
          <w:numId w:val="0"/>
        </w:numPr>
        <w:kinsoku/>
        <w:wordWrap/>
        <w:overflowPunct/>
        <w:topLinePunct w:val="0"/>
        <w:bidi w:val="0"/>
        <w:snapToGrid w:val="0"/>
        <w:spacing w:line="360" w:lineRule="auto"/>
        <w:ind w:firstLine="640" w:firstLineChars="200"/>
        <w:rPr>
          <w:rFonts w:hint="eastAsia"/>
          <w:color w:val="auto"/>
          <w:lang w:val="en-US" w:eastAsia="zh-CN"/>
        </w:rPr>
      </w:pPr>
      <w:r>
        <w:rPr>
          <w:rFonts w:hint="eastAsia"/>
          <w:color w:val="auto"/>
          <w:lang w:val="en-US" w:eastAsia="zh-CN"/>
        </w:rPr>
        <w:t>建设地点：边岗乡</w:t>
      </w:r>
    </w:p>
    <w:p>
      <w:pPr>
        <w:pageBreakBefore w:val="0"/>
        <w:numPr>
          <w:ilvl w:val="0"/>
          <w:numId w:val="0"/>
        </w:numPr>
        <w:kinsoku/>
        <w:wordWrap/>
        <w:overflowPunct/>
        <w:topLinePunct w:val="0"/>
        <w:bidi w:val="0"/>
        <w:snapToGrid w:val="0"/>
        <w:spacing w:line="360" w:lineRule="auto"/>
        <w:ind w:firstLine="640" w:firstLineChars="200"/>
        <w:rPr>
          <w:rFonts w:hint="eastAsia"/>
          <w:color w:val="auto"/>
          <w:lang w:val="en-US" w:eastAsia="zh-CN"/>
        </w:rPr>
      </w:pPr>
      <w:r>
        <w:rPr>
          <w:rFonts w:hint="eastAsia"/>
          <w:color w:val="auto"/>
          <w:lang w:val="en-US" w:eastAsia="zh-CN"/>
        </w:rPr>
        <w:t>建设年限：2024年</w:t>
      </w:r>
    </w:p>
    <w:p>
      <w:pPr>
        <w:pStyle w:val="6"/>
        <w:pageBreakBefore w:val="0"/>
        <w:kinsoku/>
        <w:wordWrap/>
        <w:overflowPunct/>
        <w:topLinePunct w:val="0"/>
        <w:bidi w:val="0"/>
        <w:snapToGrid w:val="0"/>
        <w:spacing w:after="0" w:afterLines="-2147483648" w:line="360" w:lineRule="auto"/>
        <w:ind w:firstLine="643"/>
        <w:rPr>
          <w:rFonts w:hint="default" w:ascii="Times New Roman Regular" w:hAnsi="Times New Roman Regular" w:eastAsia="楷体" w:cs="Times New Roman Regular"/>
          <w:b/>
          <w:bCs w:val="0"/>
          <w:color w:val="auto"/>
          <w:highlight w:val="none"/>
          <w:lang w:val="en-US" w:eastAsia="zh-CN"/>
        </w:rPr>
      </w:pPr>
      <w:r>
        <w:rPr>
          <w:rFonts w:hint="eastAsia" w:ascii="Times New Roman Regular" w:hAnsi="Times New Roman Regular" w:eastAsia="楷体" w:cs="Times New Roman Regular"/>
          <w:b/>
          <w:bCs w:val="0"/>
          <w:color w:val="auto"/>
          <w:highlight w:val="none"/>
          <w:lang w:val="en-US" w:eastAsia="zh-CN"/>
        </w:rPr>
        <w:t>2.国家肉鸡产业技术体系北方实验站实验基地建设项目</w:t>
      </w:r>
    </w:p>
    <w:p>
      <w:pPr>
        <w:pageBreakBefore w:val="0"/>
        <w:numPr>
          <w:ilvl w:val="0"/>
          <w:numId w:val="0"/>
        </w:numPr>
        <w:kinsoku/>
        <w:wordWrap/>
        <w:overflowPunct/>
        <w:topLinePunct w:val="0"/>
        <w:bidi w:val="0"/>
        <w:snapToGrid w:val="0"/>
        <w:spacing w:line="360" w:lineRule="auto"/>
        <w:ind w:firstLine="640" w:firstLineChars="200"/>
        <w:rPr>
          <w:rFonts w:hint="default"/>
          <w:color w:val="auto"/>
          <w:lang w:val="en-US" w:eastAsia="zh-CN"/>
        </w:rPr>
      </w:pPr>
      <w:r>
        <w:rPr>
          <w:rFonts w:hint="eastAsia"/>
          <w:color w:val="auto"/>
          <w:lang w:val="en-US" w:eastAsia="zh-CN"/>
        </w:rPr>
        <w:t>建设内容：项目占地面积87337平方米，总建筑面积33893平方米，包括鸡舍18栋，进行国产新品种性能试验、无抗养殖试验等，在园区内全面推广无抗肉鸡养殖技术，提高园区科技研发水平，带动主导产业发展。吉林德翔牧业有限公司负责实验基地的基础设施建设，德惠市国有资本投资运营（集团）有限公司使用中央财政奖补资金拟投入基地设施设备。</w:t>
      </w:r>
    </w:p>
    <w:p>
      <w:pPr>
        <w:pageBreakBefore w:val="0"/>
        <w:numPr>
          <w:ilvl w:val="0"/>
          <w:numId w:val="0"/>
        </w:numPr>
        <w:kinsoku/>
        <w:wordWrap/>
        <w:overflowPunct/>
        <w:topLinePunct w:val="0"/>
        <w:bidi w:val="0"/>
        <w:snapToGrid w:val="0"/>
        <w:spacing w:line="360" w:lineRule="auto"/>
        <w:ind w:firstLine="640" w:firstLineChars="200"/>
        <w:rPr>
          <w:rFonts w:hint="default"/>
          <w:color w:val="auto"/>
          <w:lang w:val="en-US" w:eastAsia="zh-CN"/>
        </w:rPr>
      </w:pPr>
      <w:r>
        <w:rPr>
          <w:rFonts w:hint="eastAsia"/>
          <w:color w:val="auto"/>
          <w:lang w:val="en-US" w:eastAsia="zh-CN"/>
        </w:rPr>
        <w:t>支持金额：拟使用中央财政资金1300万元，为2024年投入。</w:t>
      </w:r>
    </w:p>
    <w:p>
      <w:pPr>
        <w:pageBreakBefore w:val="0"/>
        <w:numPr>
          <w:ilvl w:val="0"/>
          <w:numId w:val="0"/>
        </w:numPr>
        <w:kinsoku/>
        <w:wordWrap/>
        <w:overflowPunct/>
        <w:topLinePunct w:val="0"/>
        <w:bidi w:val="0"/>
        <w:snapToGrid w:val="0"/>
        <w:spacing w:line="360" w:lineRule="auto"/>
        <w:ind w:firstLine="640" w:firstLineChars="200"/>
        <w:rPr>
          <w:rFonts w:hint="eastAsia"/>
          <w:color w:val="auto"/>
          <w:lang w:val="en-US" w:eastAsia="zh-CN"/>
        </w:rPr>
      </w:pPr>
      <w:r>
        <w:rPr>
          <w:rFonts w:hint="eastAsia"/>
          <w:color w:val="auto"/>
          <w:lang w:val="en-US" w:eastAsia="zh-CN"/>
        </w:rPr>
        <w:t>支持方式：直接投入</w:t>
      </w:r>
    </w:p>
    <w:p>
      <w:pPr>
        <w:pageBreakBefore w:val="0"/>
        <w:numPr>
          <w:ilvl w:val="0"/>
          <w:numId w:val="0"/>
        </w:numPr>
        <w:kinsoku/>
        <w:wordWrap/>
        <w:overflowPunct/>
        <w:topLinePunct w:val="0"/>
        <w:bidi w:val="0"/>
        <w:snapToGrid w:val="0"/>
        <w:spacing w:line="360" w:lineRule="auto"/>
        <w:ind w:firstLine="640" w:firstLineChars="200"/>
        <w:rPr>
          <w:rFonts w:hint="default"/>
          <w:color w:val="auto"/>
          <w:lang w:val="en-US" w:eastAsia="zh-CN"/>
        </w:rPr>
      </w:pPr>
      <w:r>
        <w:rPr>
          <w:rFonts w:hint="eastAsia"/>
          <w:color w:val="auto"/>
          <w:lang w:val="en-US" w:eastAsia="zh-CN"/>
        </w:rPr>
        <w:t>建设主体：吉林德翔牧业有限公司、德惠市国有资本投资运营（集团）有限公司</w:t>
      </w:r>
    </w:p>
    <w:p>
      <w:pPr>
        <w:pageBreakBefore w:val="0"/>
        <w:numPr>
          <w:ilvl w:val="0"/>
          <w:numId w:val="0"/>
        </w:numPr>
        <w:kinsoku/>
        <w:wordWrap/>
        <w:overflowPunct/>
        <w:topLinePunct w:val="0"/>
        <w:bidi w:val="0"/>
        <w:snapToGrid w:val="0"/>
        <w:spacing w:line="360" w:lineRule="auto"/>
        <w:ind w:firstLine="640" w:firstLineChars="200"/>
        <w:rPr>
          <w:rFonts w:hint="eastAsia"/>
          <w:color w:val="auto"/>
          <w:lang w:val="en-US" w:eastAsia="zh-CN"/>
        </w:rPr>
      </w:pPr>
      <w:r>
        <w:rPr>
          <w:rFonts w:hint="eastAsia"/>
          <w:color w:val="auto"/>
          <w:lang w:val="en-US" w:eastAsia="zh-CN"/>
        </w:rPr>
        <w:t>建设地点：边岗乡</w:t>
      </w:r>
    </w:p>
    <w:p>
      <w:pPr>
        <w:pageBreakBefore w:val="0"/>
        <w:numPr>
          <w:ilvl w:val="0"/>
          <w:numId w:val="0"/>
        </w:numPr>
        <w:kinsoku/>
        <w:wordWrap/>
        <w:overflowPunct/>
        <w:topLinePunct w:val="0"/>
        <w:bidi w:val="0"/>
        <w:snapToGrid w:val="0"/>
        <w:spacing w:line="360" w:lineRule="auto"/>
        <w:ind w:firstLine="640" w:firstLineChars="200"/>
        <w:rPr>
          <w:rFonts w:hint="eastAsia"/>
          <w:color w:val="auto"/>
          <w:lang w:val="en-US" w:eastAsia="zh-CN"/>
        </w:rPr>
      </w:pPr>
      <w:r>
        <w:rPr>
          <w:rFonts w:hint="eastAsia"/>
          <w:color w:val="auto"/>
          <w:lang w:val="en-US" w:eastAsia="zh-CN"/>
        </w:rPr>
        <w:t>建设年限：2024年</w:t>
      </w:r>
    </w:p>
    <w:p>
      <w:pPr>
        <w:pStyle w:val="6"/>
        <w:pageBreakBefore w:val="0"/>
        <w:kinsoku/>
        <w:wordWrap/>
        <w:overflowPunct/>
        <w:topLinePunct w:val="0"/>
        <w:bidi w:val="0"/>
        <w:snapToGrid w:val="0"/>
        <w:spacing w:after="0" w:afterLines="-2147483648" w:line="360" w:lineRule="auto"/>
        <w:ind w:firstLine="643"/>
        <w:rPr>
          <w:rFonts w:hint="eastAsia" w:ascii="Times New Roman Regular" w:hAnsi="Times New Roman Regular" w:eastAsia="楷体" w:cs="Times New Roman Regular"/>
          <w:b/>
          <w:bCs w:val="0"/>
          <w:color w:val="auto"/>
          <w:highlight w:val="none"/>
          <w:lang w:val="en-US" w:eastAsia="zh-CN"/>
        </w:rPr>
      </w:pPr>
      <w:r>
        <w:rPr>
          <w:rFonts w:hint="eastAsia" w:ascii="Times New Roman Regular" w:hAnsi="Times New Roman Regular" w:eastAsia="楷体" w:cs="Times New Roman Regular"/>
          <w:b/>
          <w:bCs w:val="0"/>
          <w:color w:val="auto"/>
          <w:highlight w:val="none"/>
          <w:lang w:val="en-US" w:eastAsia="zh-CN"/>
        </w:rPr>
        <w:t>3.鸡肉预制菜及休闲食品中试开发平台建设项目</w:t>
      </w:r>
    </w:p>
    <w:p>
      <w:pPr>
        <w:pageBreakBefore w:val="0"/>
        <w:numPr>
          <w:ilvl w:val="0"/>
          <w:numId w:val="0"/>
        </w:numPr>
        <w:kinsoku/>
        <w:wordWrap/>
        <w:overflowPunct/>
        <w:topLinePunct w:val="0"/>
        <w:bidi w:val="0"/>
        <w:snapToGrid w:val="0"/>
        <w:spacing w:line="360" w:lineRule="auto"/>
        <w:ind w:firstLine="640" w:firstLineChars="200"/>
        <w:rPr>
          <w:rFonts w:hint="eastAsia"/>
          <w:color w:val="auto"/>
          <w:lang w:val="en-US" w:eastAsia="zh-CN"/>
        </w:rPr>
      </w:pPr>
      <w:r>
        <w:rPr>
          <w:rFonts w:hint="eastAsia"/>
          <w:color w:val="auto"/>
          <w:lang w:val="en-US" w:eastAsia="zh-CN"/>
        </w:rPr>
        <w:t>建设内容：建设鸡肉预制菜及休闲食品中试生产平台1座，建筑面积6480平方米，购置不同类型产品中试生产线，满足油炸类、调理类、蒸煮类鸡肉深加工产品开发及中试生产需要，与吉林大学食品学院合作开发深加工产品，带动提升产业园鸡肉产品精深加工能力，补齐鸡肉加工产业短板，实现产业链条向后延伸，附加值进一步提高，产业对地方财政税收贡献增大，吸纳就业增多等多重目标。吉林德翔牧业有限公司负责生产平台的基础设施建设，德惠市国有资本投资运营（集团）有限公司使用中央财政奖补资金拟投入平台使用的设施设备。</w:t>
      </w:r>
    </w:p>
    <w:p>
      <w:pPr>
        <w:pageBreakBefore w:val="0"/>
        <w:numPr>
          <w:ilvl w:val="0"/>
          <w:numId w:val="0"/>
        </w:numPr>
        <w:kinsoku/>
        <w:wordWrap/>
        <w:overflowPunct/>
        <w:topLinePunct w:val="0"/>
        <w:bidi w:val="0"/>
        <w:snapToGrid w:val="0"/>
        <w:spacing w:line="360" w:lineRule="auto"/>
        <w:ind w:firstLine="640" w:firstLineChars="200"/>
        <w:rPr>
          <w:rFonts w:hint="default"/>
          <w:color w:val="auto"/>
          <w:lang w:val="en-US" w:eastAsia="zh-CN"/>
        </w:rPr>
      </w:pPr>
      <w:r>
        <w:rPr>
          <w:rFonts w:hint="eastAsia"/>
          <w:color w:val="auto"/>
          <w:lang w:val="en-US" w:eastAsia="zh-CN"/>
        </w:rPr>
        <w:t>支持金额：拟使用中央财政资金1650万元，均为2026年投入。</w:t>
      </w:r>
    </w:p>
    <w:p>
      <w:pPr>
        <w:pageBreakBefore w:val="0"/>
        <w:numPr>
          <w:ilvl w:val="0"/>
          <w:numId w:val="0"/>
        </w:numPr>
        <w:kinsoku/>
        <w:wordWrap/>
        <w:overflowPunct/>
        <w:topLinePunct w:val="0"/>
        <w:bidi w:val="0"/>
        <w:snapToGrid w:val="0"/>
        <w:spacing w:line="360" w:lineRule="auto"/>
        <w:ind w:firstLine="640" w:firstLineChars="200"/>
        <w:rPr>
          <w:rFonts w:hint="default"/>
          <w:color w:val="auto"/>
          <w:lang w:val="en-US" w:eastAsia="zh-CN"/>
        </w:rPr>
      </w:pPr>
      <w:r>
        <w:rPr>
          <w:rFonts w:hint="eastAsia"/>
          <w:color w:val="auto"/>
          <w:lang w:val="en-US" w:eastAsia="zh-CN"/>
        </w:rPr>
        <w:t>支持方式：直接投入</w:t>
      </w:r>
    </w:p>
    <w:p>
      <w:pPr>
        <w:pageBreakBefore w:val="0"/>
        <w:numPr>
          <w:ilvl w:val="0"/>
          <w:numId w:val="0"/>
        </w:numPr>
        <w:kinsoku/>
        <w:wordWrap/>
        <w:overflowPunct/>
        <w:topLinePunct w:val="0"/>
        <w:bidi w:val="0"/>
        <w:snapToGrid w:val="0"/>
        <w:spacing w:line="360" w:lineRule="auto"/>
        <w:ind w:firstLine="640" w:firstLineChars="200"/>
        <w:rPr>
          <w:rFonts w:hint="eastAsia"/>
          <w:color w:val="auto"/>
          <w:lang w:val="en-US" w:eastAsia="zh-CN"/>
        </w:rPr>
      </w:pPr>
      <w:r>
        <w:rPr>
          <w:rFonts w:hint="eastAsia"/>
          <w:color w:val="auto"/>
          <w:lang w:val="en-US" w:eastAsia="zh-CN"/>
        </w:rPr>
        <w:t>建设主体：吉林德翔食品有限公司、德惠市国有资本投资运营（集团）有限公司</w:t>
      </w:r>
    </w:p>
    <w:p>
      <w:pPr>
        <w:pageBreakBefore w:val="0"/>
        <w:numPr>
          <w:ilvl w:val="0"/>
          <w:numId w:val="0"/>
        </w:numPr>
        <w:kinsoku/>
        <w:wordWrap/>
        <w:overflowPunct/>
        <w:topLinePunct w:val="0"/>
        <w:bidi w:val="0"/>
        <w:snapToGrid w:val="0"/>
        <w:spacing w:line="360" w:lineRule="auto"/>
        <w:ind w:firstLine="640" w:firstLineChars="200"/>
        <w:rPr>
          <w:rFonts w:hint="default"/>
          <w:color w:val="auto"/>
          <w:lang w:val="en-US" w:eastAsia="zh-CN"/>
        </w:rPr>
      </w:pPr>
      <w:r>
        <w:rPr>
          <w:rFonts w:hint="eastAsia"/>
          <w:color w:val="auto"/>
          <w:lang w:val="en-US" w:eastAsia="zh-CN"/>
        </w:rPr>
        <w:t>建设地点：布海镇</w:t>
      </w:r>
    </w:p>
    <w:p>
      <w:pPr>
        <w:pageBreakBefore w:val="0"/>
        <w:numPr>
          <w:ilvl w:val="0"/>
          <w:numId w:val="0"/>
        </w:numPr>
        <w:kinsoku/>
        <w:wordWrap/>
        <w:overflowPunct/>
        <w:topLinePunct w:val="0"/>
        <w:bidi w:val="0"/>
        <w:snapToGrid w:val="0"/>
        <w:spacing w:line="360" w:lineRule="auto"/>
        <w:ind w:firstLine="640" w:firstLineChars="200"/>
        <w:rPr>
          <w:rFonts w:hint="eastAsia"/>
          <w:color w:val="auto"/>
          <w:lang w:val="en-US" w:eastAsia="zh-CN"/>
        </w:rPr>
      </w:pPr>
      <w:r>
        <w:rPr>
          <w:rFonts w:hint="eastAsia"/>
          <w:color w:val="auto"/>
          <w:lang w:val="en-US" w:eastAsia="zh-CN"/>
        </w:rPr>
        <w:t>建设年限：2025-2026年</w:t>
      </w:r>
    </w:p>
    <w:p>
      <w:pPr>
        <w:pStyle w:val="6"/>
        <w:pageBreakBefore w:val="0"/>
        <w:kinsoku/>
        <w:wordWrap/>
        <w:overflowPunct/>
        <w:topLinePunct w:val="0"/>
        <w:bidi w:val="0"/>
        <w:snapToGrid w:val="0"/>
        <w:spacing w:after="0" w:afterLines="-2147483648" w:line="360" w:lineRule="auto"/>
        <w:ind w:firstLine="643"/>
        <w:rPr>
          <w:rFonts w:hint="default" w:ascii="Times New Roman Regular" w:hAnsi="Times New Roman Regular" w:eastAsia="楷体" w:cs="Times New Roman Regular"/>
          <w:b/>
          <w:bCs w:val="0"/>
          <w:color w:val="auto"/>
          <w:highlight w:val="none"/>
          <w:lang w:val="en-US" w:eastAsia="zh-CN"/>
        </w:rPr>
      </w:pPr>
      <w:r>
        <w:rPr>
          <w:rFonts w:hint="eastAsia" w:ascii="Times New Roman Regular" w:hAnsi="Times New Roman Regular" w:eastAsia="楷体" w:cs="Times New Roman Regular"/>
          <w:b/>
          <w:bCs w:val="0"/>
          <w:color w:val="auto"/>
          <w:highlight w:val="none"/>
          <w:lang w:val="en-US" w:eastAsia="zh-CN"/>
        </w:rPr>
        <w:t>4.德惠市国家现代农业产业园肉鸡产业公共检测中心建设项目</w:t>
      </w:r>
    </w:p>
    <w:p>
      <w:pPr>
        <w:pageBreakBefore w:val="0"/>
        <w:numPr>
          <w:ilvl w:val="0"/>
          <w:numId w:val="0"/>
        </w:numPr>
        <w:kinsoku/>
        <w:wordWrap/>
        <w:overflowPunct/>
        <w:topLinePunct w:val="0"/>
        <w:bidi w:val="0"/>
        <w:snapToGrid w:val="0"/>
        <w:spacing w:line="360" w:lineRule="auto"/>
        <w:ind w:firstLine="640" w:firstLineChars="200"/>
        <w:rPr>
          <w:rFonts w:hint="eastAsia"/>
          <w:color w:val="auto"/>
          <w:lang w:val="en-US" w:eastAsia="zh-CN"/>
        </w:rPr>
      </w:pPr>
      <w:r>
        <w:rPr>
          <w:rFonts w:hint="eastAsia"/>
          <w:color w:val="auto"/>
          <w:lang w:val="en-US" w:eastAsia="zh-CN"/>
        </w:rPr>
        <w:t>建设内容：项目使用办公场地960平方米，打造园区公共检测平台。计划购置液相色谱、理化分析仪器等相关检测设备，为入园企业提供药残农残检测、微生物检验、饲料检验、原粮化验、食品安全检测、肉鸡病理毒理检测等相关指标检测，在产业园内形成综合性肉鸡产业公共检测中心，为入园企业乃至全省肉鸡相关企业提供服务。吉林德翔牧业有限公司负责检测中心的基础设施建设，德惠市国有资本投资运营（集团）有限公司使用中央财政奖补资金拟投入检测中心使用的设施设备。</w:t>
      </w:r>
    </w:p>
    <w:p>
      <w:pPr>
        <w:pageBreakBefore w:val="0"/>
        <w:numPr>
          <w:ilvl w:val="0"/>
          <w:numId w:val="0"/>
        </w:numPr>
        <w:kinsoku/>
        <w:wordWrap/>
        <w:overflowPunct/>
        <w:topLinePunct w:val="0"/>
        <w:bidi w:val="0"/>
        <w:snapToGrid w:val="0"/>
        <w:spacing w:line="360" w:lineRule="auto"/>
        <w:ind w:firstLine="640" w:firstLineChars="200"/>
        <w:rPr>
          <w:rFonts w:hint="default"/>
          <w:color w:val="auto"/>
          <w:lang w:val="en-US" w:eastAsia="zh-CN"/>
        </w:rPr>
      </w:pPr>
      <w:r>
        <w:rPr>
          <w:rFonts w:hint="eastAsia"/>
          <w:color w:val="auto"/>
          <w:lang w:val="en-US" w:eastAsia="zh-CN"/>
        </w:rPr>
        <w:t>支持金额：拟使用中央财政资金750万元，均为2026年投入。</w:t>
      </w:r>
    </w:p>
    <w:p>
      <w:pPr>
        <w:pageBreakBefore w:val="0"/>
        <w:numPr>
          <w:ilvl w:val="0"/>
          <w:numId w:val="0"/>
        </w:numPr>
        <w:kinsoku/>
        <w:wordWrap/>
        <w:overflowPunct/>
        <w:topLinePunct w:val="0"/>
        <w:bidi w:val="0"/>
        <w:snapToGrid w:val="0"/>
        <w:spacing w:line="360" w:lineRule="auto"/>
        <w:ind w:firstLine="640" w:firstLineChars="200"/>
        <w:rPr>
          <w:rFonts w:hint="default"/>
          <w:color w:val="auto"/>
          <w:lang w:val="en-US" w:eastAsia="zh-CN"/>
        </w:rPr>
      </w:pPr>
      <w:r>
        <w:rPr>
          <w:rFonts w:hint="eastAsia"/>
          <w:color w:val="auto"/>
          <w:lang w:val="en-US" w:eastAsia="zh-CN"/>
        </w:rPr>
        <w:t>支持方式：直接投入</w:t>
      </w:r>
    </w:p>
    <w:p>
      <w:pPr>
        <w:pageBreakBefore w:val="0"/>
        <w:numPr>
          <w:ilvl w:val="0"/>
          <w:numId w:val="0"/>
        </w:numPr>
        <w:kinsoku/>
        <w:wordWrap/>
        <w:overflowPunct/>
        <w:topLinePunct w:val="0"/>
        <w:bidi w:val="0"/>
        <w:snapToGrid w:val="0"/>
        <w:spacing w:line="360" w:lineRule="auto"/>
        <w:ind w:firstLine="640" w:firstLineChars="200"/>
        <w:rPr>
          <w:rFonts w:hint="eastAsia"/>
          <w:color w:val="auto"/>
          <w:lang w:val="en-US" w:eastAsia="zh-CN"/>
        </w:rPr>
      </w:pPr>
      <w:r>
        <w:rPr>
          <w:rFonts w:hint="eastAsia"/>
          <w:color w:val="auto"/>
          <w:lang w:val="en-US" w:eastAsia="zh-CN"/>
        </w:rPr>
        <w:t>建设主体：吉林德翔食品有限公司、德惠市国有资本投资运营（集团）有限公司</w:t>
      </w:r>
    </w:p>
    <w:p>
      <w:pPr>
        <w:pageBreakBefore w:val="0"/>
        <w:numPr>
          <w:ilvl w:val="0"/>
          <w:numId w:val="0"/>
        </w:numPr>
        <w:kinsoku/>
        <w:wordWrap/>
        <w:overflowPunct/>
        <w:topLinePunct w:val="0"/>
        <w:bidi w:val="0"/>
        <w:snapToGrid w:val="0"/>
        <w:spacing w:line="360" w:lineRule="auto"/>
        <w:ind w:firstLine="640" w:firstLineChars="200"/>
        <w:rPr>
          <w:rFonts w:hint="eastAsia"/>
          <w:color w:val="auto"/>
          <w:lang w:val="en-US" w:eastAsia="zh-CN"/>
        </w:rPr>
      </w:pPr>
      <w:r>
        <w:rPr>
          <w:rFonts w:hint="eastAsia"/>
          <w:color w:val="auto"/>
          <w:lang w:val="en-US" w:eastAsia="zh-CN"/>
        </w:rPr>
        <w:t>建设地点：布海镇</w:t>
      </w:r>
    </w:p>
    <w:p>
      <w:pPr>
        <w:pageBreakBefore w:val="0"/>
        <w:numPr>
          <w:ilvl w:val="0"/>
          <w:numId w:val="0"/>
        </w:numPr>
        <w:kinsoku/>
        <w:wordWrap/>
        <w:overflowPunct/>
        <w:topLinePunct w:val="0"/>
        <w:bidi w:val="0"/>
        <w:snapToGrid w:val="0"/>
        <w:spacing w:line="360" w:lineRule="auto"/>
        <w:ind w:firstLine="640" w:firstLineChars="200"/>
        <w:rPr>
          <w:rFonts w:hint="eastAsia"/>
          <w:color w:val="auto"/>
          <w:lang w:val="en-US" w:eastAsia="zh-CN"/>
        </w:rPr>
      </w:pPr>
      <w:r>
        <w:rPr>
          <w:rFonts w:hint="eastAsia"/>
          <w:color w:val="auto"/>
          <w:lang w:val="en-US" w:eastAsia="zh-CN"/>
        </w:rPr>
        <w:t>建设年限：2026年</w:t>
      </w:r>
    </w:p>
    <w:p>
      <w:pPr>
        <w:pStyle w:val="5"/>
        <w:pageBreakBefore w:val="0"/>
        <w:kinsoku/>
        <w:wordWrap/>
        <w:overflowPunct/>
        <w:topLinePunct w:val="0"/>
        <w:autoSpaceDE/>
        <w:autoSpaceDN/>
        <w:bidi w:val="0"/>
        <w:adjustRightInd w:val="0"/>
        <w:snapToGrid w:val="0"/>
        <w:spacing w:before="0" w:beforeLines="-2147483648" w:after="0" w:afterLines="-2147483648" w:line="360" w:lineRule="auto"/>
        <w:ind w:firstLine="643" w:firstLineChars="200"/>
        <w:textAlignment w:val="auto"/>
        <w:rPr>
          <w:rFonts w:hint="default" w:ascii="Times New Roman" w:hAnsi="Times New Roman" w:eastAsia="楷体" w:cs="Times New Roman"/>
          <w:bCs/>
          <w:color w:val="auto"/>
          <w:lang w:val="en-US" w:eastAsia="zh-CN"/>
        </w:rPr>
      </w:pPr>
      <w:bookmarkStart w:id="25" w:name="_Toc6107"/>
      <w:r>
        <w:rPr>
          <w:rFonts w:hint="eastAsia" w:ascii="Times New Roman" w:hAnsi="Times New Roman" w:eastAsia="楷体" w:cs="Times New Roman"/>
          <w:bCs/>
          <w:color w:val="auto"/>
          <w:lang w:val="en-US" w:eastAsia="zh-CN"/>
        </w:rPr>
        <w:t>（</w:t>
      </w:r>
      <w:r>
        <w:rPr>
          <w:rFonts w:hint="eastAsia" w:eastAsia="楷体" w:cs="Times New Roman"/>
          <w:bCs/>
          <w:color w:val="auto"/>
          <w:lang w:val="en-US" w:eastAsia="zh-CN"/>
        </w:rPr>
        <w:t>三</w:t>
      </w:r>
      <w:r>
        <w:rPr>
          <w:rFonts w:hint="eastAsia" w:ascii="Times New Roman" w:hAnsi="Times New Roman" w:eastAsia="楷体" w:cs="Times New Roman"/>
          <w:bCs/>
          <w:color w:val="auto"/>
          <w:lang w:val="en-US" w:eastAsia="zh-CN"/>
        </w:rPr>
        <w:t>）</w:t>
      </w:r>
      <w:r>
        <w:rPr>
          <w:rFonts w:hint="eastAsia" w:eastAsia="楷体" w:cs="Times New Roman"/>
          <w:bCs/>
          <w:color w:val="auto"/>
          <w:lang w:val="en-US" w:eastAsia="zh-CN"/>
        </w:rPr>
        <w:t>联农带农增收</w:t>
      </w:r>
      <w:r>
        <w:rPr>
          <w:rFonts w:hint="eastAsia" w:ascii="Times New Roman" w:hAnsi="Times New Roman" w:eastAsia="楷体" w:cs="Times New Roman"/>
          <w:bCs/>
          <w:color w:val="auto"/>
          <w:lang w:val="en-US" w:eastAsia="zh-CN"/>
        </w:rPr>
        <w:t>工程</w:t>
      </w:r>
      <w:bookmarkEnd w:id="25"/>
    </w:p>
    <w:p>
      <w:pPr>
        <w:pStyle w:val="6"/>
        <w:pageBreakBefore w:val="0"/>
        <w:kinsoku/>
        <w:wordWrap/>
        <w:overflowPunct/>
        <w:topLinePunct w:val="0"/>
        <w:bidi w:val="0"/>
        <w:snapToGrid w:val="0"/>
        <w:spacing w:after="0" w:afterLines="-2147483648" w:line="360" w:lineRule="auto"/>
        <w:ind w:firstLine="643"/>
        <w:rPr>
          <w:rFonts w:hint="default" w:ascii="Times New Roman Regular" w:hAnsi="Times New Roman Regular" w:eastAsia="楷体" w:cs="Times New Roman Regular"/>
          <w:b/>
          <w:bCs w:val="0"/>
          <w:color w:val="auto"/>
          <w:highlight w:val="none"/>
          <w:lang w:val="en-US" w:eastAsia="zh-CN"/>
        </w:rPr>
      </w:pPr>
      <w:r>
        <w:rPr>
          <w:rFonts w:hint="eastAsia" w:ascii="Times New Roman Regular" w:hAnsi="Times New Roman Regular" w:eastAsia="楷体" w:cs="Times New Roman Regular"/>
          <w:b/>
          <w:bCs w:val="0"/>
          <w:color w:val="auto"/>
          <w:highlight w:val="none"/>
          <w:lang w:val="en-US" w:eastAsia="zh-CN"/>
        </w:rPr>
        <w:t>1.吉林省肉鸡产业双创孵化中心建设项目</w:t>
      </w:r>
    </w:p>
    <w:p>
      <w:pPr>
        <w:pageBreakBefore w:val="0"/>
        <w:numPr>
          <w:ilvl w:val="0"/>
          <w:numId w:val="0"/>
        </w:numPr>
        <w:kinsoku/>
        <w:wordWrap/>
        <w:overflowPunct/>
        <w:topLinePunct w:val="0"/>
        <w:bidi w:val="0"/>
        <w:snapToGrid w:val="0"/>
        <w:spacing w:line="360" w:lineRule="auto"/>
        <w:ind w:firstLine="640" w:firstLineChars="200"/>
        <w:rPr>
          <w:rFonts w:hint="default"/>
          <w:color w:val="auto"/>
          <w:lang w:val="en-US" w:eastAsia="zh-CN"/>
        </w:rPr>
      </w:pPr>
      <w:r>
        <w:rPr>
          <w:rFonts w:hint="eastAsia"/>
          <w:color w:val="auto"/>
          <w:lang w:val="en-US" w:eastAsia="zh-CN"/>
        </w:rPr>
        <w:t>建设内容：项目使用办公场地4704平方米，建设肉鸡产业双创孵化中心，打造成果转化及产品展示中心、培训交流中心、创业孵化区、洽谈区及多媒体报告厅。为入园企业提供科技研发、技术交流等公共服务，鼓励引导入园企业、农民合作社创业创新，发展多种形式的适度规模经营，将园区打造成为新型经营主体“双创”孵化区。吉林德翔牧业有限公司负责孵化中心的基础设施建设，德惠市国有资本投资运营（集团）有限公司使用中央财政奖补资金拟投入孵化中心使用的设施设备。</w:t>
      </w:r>
    </w:p>
    <w:p>
      <w:pPr>
        <w:pageBreakBefore w:val="0"/>
        <w:numPr>
          <w:ilvl w:val="0"/>
          <w:numId w:val="0"/>
        </w:numPr>
        <w:kinsoku/>
        <w:wordWrap/>
        <w:overflowPunct/>
        <w:topLinePunct w:val="0"/>
        <w:bidi w:val="0"/>
        <w:snapToGrid w:val="0"/>
        <w:spacing w:line="360" w:lineRule="auto"/>
        <w:ind w:firstLine="640" w:firstLineChars="200"/>
        <w:rPr>
          <w:rFonts w:hint="default"/>
          <w:color w:val="auto"/>
          <w:lang w:val="en-US" w:eastAsia="zh-CN"/>
        </w:rPr>
      </w:pPr>
      <w:r>
        <w:rPr>
          <w:rFonts w:hint="eastAsia"/>
          <w:color w:val="auto"/>
          <w:lang w:val="en-US" w:eastAsia="zh-CN"/>
        </w:rPr>
        <w:t>支持金额：拟使用中央财政资金700万元，为2026年投入。</w:t>
      </w:r>
    </w:p>
    <w:p>
      <w:pPr>
        <w:pageBreakBefore w:val="0"/>
        <w:numPr>
          <w:ilvl w:val="0"/>
          <w:numId w:val="0"/>
        </w:numPr>
        <w:kinsoku/>
        <w:wordWrap/>
        <w:overflowPunct/>
        <w:topLinePunct w:val="0"/>
        <w:bidi w:val="0"/>
        <w:snapToGrid w:val="0"/>
        <w:spacing w:line="360" w:lineRule="auto"/>
        <w:ind w:firstLine="640" w:firstLineChars="200"/>
        <w:rPr>
          <w:rFonts w:hint="default"/>
          <w:color w:val="auto"/>
          <w:lang w:val="en-US" w:eastAsia="zh-CN"/>
        </w:rPr>
      </w:pPr>
      <w:r>
        <w:rPr>
          <w:rFonts w:hint="eastAsia"/>
          <w:color w:val="auto"/>
          <w:lang w:val="en-US" w:eastAsia="zh-CN"/>
        </w:rPr>
        <w:t>支持方式：直接投入</w:t>
      </w:r>
    </w:p>
    <w:p>
      <w:pPr>
        <w:pageBreakBefore w:val="0"/>
        <w:numPr>
          <w:ilvl w:val="0"/>
          <w:numId w:val="0"/>
        </w:numPr>
        <w:kinsoku/>
        <w:wordWrap/>
        <w:overflowPunct/>
        <w:topLinePunct w:val="0"/>
        <w:bidi w:val="0"/>
        <w:snapToGrid w:val="0"/>
        <w:spacing w:line="360" w:lineRule="auto"/>
        <w:ind w:firstLine="640" w:firstLineChars="200"/>
        <w:rPr>
          <w:rFonts w:hint="eastAsia"/>
          <w:color w:val="auto"/>
          <w:lang w:val="en-US" w:eastAsia="zh-CN"/>
        </w:rPr>
      </w:pPr>
      <w:r>
        <w:rPr>
          <w:rFonts w:hint="eastAsia"/>
          <w:color w:val="auto"/>
          <w:lang w:val="en-US" w:eastAsia="zh-CN"/>
        </w:rPr>
        <w:t>建设主体：吉林德翔牧业有限公司、德惠市国有资本投资运营（集团）有限公司</w:t>
      </w:r>
    </w:p>
    <w:p>
      <w:pPr>
        <w:pageBreakBefore w:val="0"/>
        <w:numPr>
          <w:ilvl w:val="0"/>
          <w:numId w:val="0"/>
        </w:numPr>
        <w:kinsoku/>
        <w:wordWrap/>
        <w:overflowPunct/>
        <w:topLinePunct w:val="0"/>
        <w:bidi w:val="0"/>
        <w:snapToGrid w:val="0"/>
        <w:spacing w:line="360" w:lineRule="auto"/>
        <w:ind w:firstLine="640" w:firstLineChars="200"/>
        <w:rPr>
          <w:rFonts w:hint="eastAsia"/>
          <w:color w:val="auto"/>
          <w:lang w:val="en-US" w:eastAsia="zh-CN"/>
        </w:rPr>
      </w:pPr>
      <w:r>
        <w:rPr>
          <w:rFonts w:hint="eastAsia"/>
          <w:color w:val="auto"/>
          <w:lang w:val="en-US" w:eastAsia="zh-CN"/>
        </w:rPr>
        <w:t>建设地点：惠发街道</w:t>
      </w:r>
    </w:p>
    <w:p>
      <w:pPr>
        <w:pageBreakBefore w:val="0"/>
        <w:numPr>
          <w:ilvl w:val="0"/>
          <w:numId w:val="0"/>
        </w:numPr>
        <w:kinsoku/>
        <w:wordWrap/>
        <w:overflowPunct/>
        <w:topLinePunct w:val="0"/>
        <w:bidi w:val="0"/>
        <w:snapToGrid w:val="0"/>
        <w:spacing w:line="360" w:lineRule="auto"/>
        <w:ind w:firstLine="640" w:firstLineChars="200"/>
        <w:rPr>
          <w:rFonts w:hint="eastAsia"/>
          <w:color w:val="auto"/>
          <w:lang w:val="en-US" w:eastAsia="zh-CN"/>
        </w:rPr>
      </w:pPr>
      <w:r>
        <w:rPr>
          <w:rFonts w:hint="eastAsia"/>
          <w:color w:val="auto"/>
          <w:lang w:val="en-US" w:eastAsia="zh-CN"/>
        </w:rPr>
        <w:t>建设年限：2026年</w:t>
      </w:r>
    </w:p>
    <w:p>
      <w:pPr>
        <w:pStyle w:val="4"/>
        <w:pageBreakBefore w:val="0"/>
        <w:widowControl w:val="0"/>
        <w:numPr>
          <w:ilvl w:val="0"/>
          <w:numId w:val="1"/>
        </w:numPr>
        <w:kinsoku/>
        <w:wordWrap/>
        <w:overflowPunct/>
        <w:topLinePunct w:val="0"/>
        <w:autoSpaceDE/>
        <w:autoSpaceDN/>
        <w:bidi w:val="0"/>
        <w:adjustRightInd w:val="0"/>
        <w:snapToGrid w:val="0"/>
        <w:spacing w:before="0" w:beforeLines="0" w:after="0" w:line="360" w:lineRule="auto"/>
        <w:ind w:left="0" w:leftChars="0" w:firstLine="640" w:firstLineChars="200"/>
        <w:jc w:val="left"/>
        <w:textAlignment w:val="auto"/>
        <w:rPr>
          <w:rFonts w:hint="eastAsia" w:ascii="Times New Roman" w:hAnsi="Times New Roman" w:cs="Times New Roman"/>
          <w:b w:val="0"/>
          <w:bCs w:val="0"/>
          <w:color w:val="auto"/>
          <w:kern w:val="44"/>
          <w:sz w:val="32"/>
          <w:szCs w:val="32"/>
          <w:lang w:val="en-US" w:eastAsia="zh-CN"/>
        </w:rPr>
      </w:pPr>
      <w:bookmarkStart w:id="26" w:name="_Toc28639"/>
      <w:r>
        <w:rPr>
          <w:rFonts w:hint="eastAsia" w:ascii="Times New Roman" w:hAnsi="Times New Roman" w:cs="Times New Roman"/>
          <w:b w:val="0"/>
          <w:bCs w:val="0"/>
          <w:color w:val="auto"/>
          <w:kern w:val="44"/>
          <w:sz w:val="32"/>
          <w:szCs w:val="32"/>
          <w:lang w:val="en-US" w:eastAsia="zh-CN"/>
        </w:rPr>
        <w:t>中央财政奖补资金年度投资计划</w:t>
      </w:r>
      <w:bookmarkEnd w:id="26"/>
    </w:p>
    <w:p>
      <w:pPr>
        <w:pageBreakBefore w:val="0"/>
        <w:numPr>
          <w:ilvl w:val="0"/>
          <w:numId w:val="0"/>
        </w:numPr>
        <w:kinsoku/>
        <w:wordWrap/>
        <w:overflowPunct/>
        <w:topLinePunct w:val="0"/>
        <w:bidi w:val="0"/>
        <w:snapToGrid w:val="0"/>
        <w:spacing w:line="360" w:lineRule="auto"/>
        <w:ind w:firstLine="640" w:firstLineChars="200"/>
        <w:rPr>
          <w:rFonts w:hint="eastAsia"/>
          <w:color w:val="auto"/>
          <w:lang w:val="en-US" w:eastAsia="zh-CN"/>
        </w:rPr>
      </w:pPr>
      <w:bookmarkStart w:id="50" w:name="_GoBack"/>
      <w:bookmarkEnd w:id="50"/>
      <w:r>
        <w:rPr>
          <w:rFonts w:hint="eastAsia"/>
          <w:color w:val="auto"/>
          <w:lang w:val="en-US" w:eastAsia="zh-CN"/>
        </w:rPr>
        <w:t>2024-2026年，</w:t>
      </w:r>
      <w:bookmarkStart w:id="27" w:name="_Hlk66998892"/>
      <w:r>
        <w:rPr>
          <w:rFonts w:hint="eastAsia"/>
          <w:color w:val="auto"/>
          <w:lang w:val="en-US" w:eastAsia="zh-CN"/>
        </w:rPr>
        <w:t>产业园计划总投资189536.78万元，其中：中央财政资金7000万元，其他财政资金31100万元，社会资本投入151436.78万元。2024年计划投资85651.73万元，其中使用中央财政资金3000万元；2025年计划投资24800万元；2026年计划投资79085.05万元，其中使用中央财政资金4000万元</w:t>
      </w:r>
      <w:bookmarkEnd w:id="27"/>
      <w:r>
        <w:rPr>
          <w:rFonts w:hint="eastAsia"/>
          <w:color w:val="auto"/>
          <w:lang w:val="en-US" w:eastAsia="zh-CN"/>
        </w:rPr>
        <w:t>。中央财政资金年度使用计划见表4-1。</w:t>
      </w:r>
    </w:p>
    <w:p>
      <w:pPr>
        <w:pageBreakBefore w:val="0"/>
        <w:numPr>
          <w:ilvl w:val="0"/>
          <w:numId w:val="0"/>
        </w:numPr>
        <w:kinsoku/>
        <w:wordWrap/>
        <w:overflowPunct/>
        <w:topLinePunct w:val="0"/>
        <w:bidi w:val="0"/>
        <w:snapToGrid w:val="0"/>
        <w:spacing w:line="360" w:lineRule="auto"/>
        <w:ind w:firstLine="640" w:firstLineChars="200"/>
        <w:rPr>
          <w:rFonts w:hint="eastAsia"/>
          <w:color w:val="auto"/>
          <w:lang w:val="en-US" w:eastAsia="zh-CN"/>
        </w:rPr>
        <w:sectPr>
          <w:footerReference r:id="rId6" w:type="default"/>
          <w:pgSz w:w="11906" w:h="16838"/>
          <w:pgMar w:top="1440" w:right="1800" w:bottom="1440" w:left="1800" w:header="851" w:footer="992" w:gutter="0"/>
          <w:pgNumType w:fmt="decimal" w:start="1"/>
          <w:cols w:space="425" w:num="1"/>
          <w:docGrid w:type="lines" w:linePitch="312" w:charSpace="0"/>
        </w:sectPr>
      </w:pPr>
    </w:p>
    <w:p>
      <w:pPr>
        <w:pStyle w:val="16"/>
        <w:ind w:left="0" w:leftChars="0" w:firstLine="0" w:firstLineChars="0"/>
        <w:jc w:val="center"/>
        <w:rPr>
          <w:rFonts w:hint="default"/>
          <w:color w:val="auto"/>
          <w:highlight w:val="none"/>
          <w:lang w:val="en-US" w:eastAsia="zh-CN"/>
        </w:rPr>
      </w:pPr>
      <w:r>
        <w:rPr>
          <w:rFonts w:hint="eastAsia"/>
          <w:color w:val="auto"/>
          <w:highlight w:val="none"/>
          <w:lang w:val="en-US" w:eastAsia="zh-CN"/>
        </w:rPr>
        <w:t>表</w:t>
      </w:r>
      <w:r>
        <w:rPr>
          <w:rFonts w:hint="default" w:ascii="Times New Roman" w:hAnsi="Times New Roman" w:cs="Times New Roman"/>
          <w:color w:val="auto"/>
          <w:highlight w:val="none"/>
          <w:lang w:val="en-US" w:eastAsia="zh-CN"/>
        </w:rPr>
        <w:t>4-1</w:t>
      </w:r>
      <w:r>
        <w:rPr>
          <w:rFonts w:hint="eastAsia"/>
          <w:color w:val="auto"/>
          <w:highlight w:val="none"/>
          <w:lang w:val="en-US" w:eastAsia="zh-CN"/>
        </w:rPr>
        <w:t xml:space="preserve"> 中央财政奖补资金支持项目一览表</w:t>
      </w:r>
    </w:p>
    <w:tbl>
      <w:tblPr>
        <w:tblStyle w:val="17"/>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0"/>
        <w:gridCol w:w="1285"/>
        <w:gridCol w:w="1657"/>
        <w:gridCol w:w="5078"/>
        <w:gridCol w:w="1711"/>
        <w:gridCol w:w="902"/>
        <w:gridCol w:w="864"/>
        <w:gridCol w:w="699"/>
        <w:gridCol w:w="698"/>
        <w:gridCol w:w="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blHead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项目名称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建设主体</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建设内容</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中央财政奖补资金支持建设内容</w:t>
            </w: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支持方式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支持金额（万元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奖补资金投入计划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blHead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b/>
                <w:bCs/>
                <w:i w:val="0"/>
                <w:iCs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b/>
                <w:bCs/>
                <w:i w:val="0"/>
                <w:iCs w:val="0"/>
                <w:color w:val="000000"/>
                <w:sz w:val="24"/>
                <w:szCs w:val="24"/>
                <w:u w:val="none"/>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2024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2025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b/>
                <w:bCs/>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b/>
                <w:bCs/>
                <w:i w:val="0"/>
                <w:iCs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b/>
                <w:bCs/>
                <w:i w:val="0"/>
                <w:iCs w:val="0"/>
                <w:color w:val="000000"/>
                <w:sz w:val="24"/>
                <w:szCs w:val="24"/>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7000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（一）产业链供应链完善提升工程</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b/>
                <w:bCs/>
                <w:i w:val="0"/>
                <w:iCs w:val="0"/>
                <w:color w:val="000000"/>
                <w:sz w:val="24"/>
                <w:szCs w:val="24"/>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1700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德惠市肉鸡现代化孵化平台建设项目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吉林省万禾养殖有限公司、德惠市国有资本投资运营（集团）有限公司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项目占地面积约40000</w:t>
            </w:r>
            <w:r>
              <w:rPr>
                <w:rStyle w:val="30"/>
                <w:rFonts w:hint="default" w:ascii="Times New Roman" w:hAnsi="Times New Roman" w:eastAsia="仿宋" w:cs="Times New Roman"/>
                <w:sz w:val="24"/>
                <w:szCs w:val="24"/>
                <w:lang w:val="en-US" w:eastAsia="zh-CN" w:bidi="ar"/>
              </w:rPr>
              <w:t>平方米，总建筑面积7000平方米，孵化中心内设种蛋库、孵化间、出雏间、检疫间、冲洗消毒间等功能单元，年可孵化鸡雏1.5亿只，打造现代化肉鸡孵化平台，为入园企业提供鸡雏孵化公共服务。吉林省万禾养殖有限公司负责孵化中心基础设施建设，德惠市国有资本投资运营（集团）有限公司使用中央财政奖补资金拟投入智能化孵化设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中央财政奖补资金主要用于智能化孵化设备购置。</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直接投入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德惠市现代农业产业园农副产品冷库平台建设项目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吉林阔源食品厂、德惠市国有资本投资运营（集团）有限公司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新建农副产品冷库1400平方米，储藏能力2600吨，为园区内企业提供农产品速冻、冷冻、贮藏等公共服务。吉林阔源食品厂负责冷库的基础设施建设，德惠市国有资本投资运营（集团）有限公司使用中央财政奖补资金拟投入冷库内的设施设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中央财政奖补资金主要用于冷库设备购置。</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直接投入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（二）科技创新平台建设工程</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b/>
                <w:bCs/>
                <w:i w:val="0"/>
                <w:iCs w:val="0"/>
                <w:color w:val="000000"/>
                <w:sz w:val="24"/>
                <w:szCs w:val="24"/>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4600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德惠市边岗乡肉鸡良种繁育基地建设项目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吉林德翔牧业有限公司、德惠市国有资本投资运营（集团）有限公司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项目占地面积87013平方米，总建筑面积28133平方米，包括鸡舍13栋，配套科研房等设施。项目的建设将提高园内养殖户、企业种鸡育成质量，减少种鸡繁育、孵化环节造成的损失，带动农户增收、产业提质发展。吉林德翔牧业有限公司负责基地的基础设施建设，德惠市国有资本投资运营（集团）有限公司使用中央财政奖补资金拟投入孵化使用的设施设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中央财政奖补资金主要用于基地智能化孵化设备购置安装。</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直接投入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国家肉鸡产业技术体系北方实验站实验基地建设项目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吉林德翔牧业有限公司、德惠市国有资本投资运营（集团）有限公司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项目占地面积87337平方米，总建筑面积33893平方米，包括鸡舍18栋，进行国产新品种性能试验、无抗养殖试验等，在园区内全面推广无抗肉鸡养殖技术，提高园区科技研发水平，带动主导产业发展。吉林德翔牧业有限公司负责实验基地的基础设施建设，德惠市国有资本投资运营（集团）有限公司使用中央财政奖补资金拟投入基地设施设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中央财政奖补资金主要用于实验基地设备购置安装。</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直接投入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鸡肉预制菜及休闲食品中试开发平台建设项目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吉林德翔食品有限公司、德惠市国有资本投资运营（集团）有限公司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建设鸡肉预制菜及休闲食品中试生产平台1座，建筑面积6480平方米，购置不同类型产品中试生产线，满足油炸类、调理类、蒸煮类鸡肉深加工产品开发及中试生产需要，与吉林大学食品学院合作开发深加工产品，带动提升产业园鸡肉产品精深加工能力，补齐鸡肉加工产业短板，实现产业链条向后延伸，附加值进一步提高，产业对地方财政税收贡献增大，吸纳就业增多等多重目标。吉林德翔牧业有限公司负责生产平台的基础设施建设，德惠市国有资本投资运营（集团）有限公司使用中央财政奖补资金拟投入平台使用的设施设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中央财政奖补资金主要用于中试研发平台设备购置安装。</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直接投入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德惠市国家现代农业产业园肉鸡产业公共检测中心建设项目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吉林德翔食品有限公司、德惠市国有资本投资运营（集团）有限公司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项目使用办公场地960平方米，打造园区公共检测平台。计划购置液相色谱、理化分析仪器等相关检测设备，为入园企业提供药残农残检测、微生物检验、饲料检验、原粮化验、食品安全检测、肉鸡病理毒理检测等相关指标检测，在产业园内形成综合性肉鸡产业公共检测中心，为入园企业乃至全省肉鸡相关企业提供服务。吉林德翔牧业有限公司负责检测中心的基础设施建设，德惠市国有资本投资运营（集团）有限公司使用中央财政奖补资金拟投入检测中心使用的设施设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中央财政奖补资金主要用于微生物检验、饲料检验、食品安全检测等肉鸡产业相关检测设备购置。</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直接投入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（三）联农带农增收工程</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b/>
                <w:bCs/>
                <w:i w:val="0"/>
                <w:iCs w:val="0"/>
                <w:color w:val="000000"/>
                <w:sz w:val="24"/>
                <w:szCs w:val="24"/>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吉林省肉鸡产业双创孵化中心建设项目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吉林德翔牧业有限公司、德惠市国有资本投资运营（集团）有限公司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项目使用办公场地4704平方米，建设肉鸡产业双创孵化中心，打造成果转化及产品展示中心、培训交流中心、创业孵化区、洽谈区及多媒体报告厅。为入园企业提供科技研发、技术交流等公共服务，鼓励引导入园企业、农民合作社创业创新，发展多种形式的适度规模经营，将园区打造成为新型经营主体“双创”孵化区。吉林德翔牧业有限公司负责孵化中心的基础设施建设，德惠市国有资本投资运营（集团）有限公司使用中央财政奖补资金拟投入孵化中心使用的设施设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中央奖补资金主要用于孵化中心软件等设备购置及安装。</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直接投入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700</w:t>
            </w:r>
          </w:p>
        </w:tc>
      </w:tr>
    </w:tbl>
    <w:p>
      <w:pPr>
        <w:pStyle w:val="16"/>
        <w:rPr>
          <w:rFonts w:hint="eastAsia"/>
          <w:color w:val="auto"/>
          <w:lang w:val="en-US" w:eastAsia="zh-CN"/>
        </w:rPr>
      </w:pPr>
    </w:p>
    <w:p>
      <w:pPr>
        <w:pStyle w:val="4"/>
        <w:pageBreakBefore w:val="0"/>
        <w:widowControl w:val="0"/>
        <w:kinsoku/>
        <w:wordWrap/>
        <w:overflowPunct/>
        <w:topLinePunct w:val="0"/>
        <w:autoSpaceDE/>
        <w:autoSpaceDN/>
        <w:bidi w:val="0"/>
        <w:adjustRightInd w:val="0"/>
        <w:snapToGrid w:val="0"/>
        <w:spacing w:before="0" w:beforeLines="0" w:after="0" w:line="360" w:lineRule="auto"/>
        <w:ind w:firstLine="640" w:firstLineChars="200"/>
        <w:jc w:val="left"/>
        <w:textAlignment w:val="auto"/>
        <w:outlineLvl w:val="9"/>
        <w:rPr>
          <w:rFonts w:hint="eastAsia" w:cs="Times New Roman"/>
          <w:b w:val="0"/>
          <w:bCs w:val="0"/>
          <w:color w:val="auto"/>
          <w:kern w:val="44"/>
          <w:sz w:val="32"/>
          <w:szCs w:val="32"/>
          <w:lang w:val="en-US" w:eastAsia="zh-CN"/>
        </w:rPr>
        <w:sectPr>
          <w:pgSz w:w="16838" w:h="11906" w:orient="landscape"/>
          <w:pgMar w:top="1800" w:right="1440" w:bottom="1800" w:left="1440" w:header="851" w:footer="992" w:gutter="0"/>
          <w:pgNumType w:fmt="decimal"/>
          <w:cols w:space="425" w:num="1"/>
          <w:docGrid w:type="lines" w:linePitch="312" w:charSpace="0"/>
        </w:sectPr>
      </w:pPr>
    </w:p>
    <w:p>
      <w:pPr>
        <w:pStyle w:val="4"/>
        <w:pageBreakBefore w:val="0"/>
        <w:widowControl w:val="0"/>
        <w:kinsoku/>
        <w:wordWrap/>
        <w:overflowPunct/>
        <w:topLinePunct w:val="0"/>
        <w:autoSpaceDE/>
        <w:autoSpaceDN/>
        <w:bidi w:val="0"/>
        <w:adjustRightInd w:val="0"/>
        <w:snapToGrid w:val="0"/>
        <w:spacing w:before="0" w:beforeLines="0" w:after="0" w:line="360" w:lineRule="auto"/>
        <w:ind w:firstLine="640" w:firstLineChars="200"/>
        <w:jc w:val="left"/>
        <w:textAlignment w:val="auto"/>
        <w:rPr>
          <w:rFonts w:hint="eastAsia" w:ascii="Times New Roman" w:hAnsi="Times New Roman" w:cs="Times New Roman"/>
          <w:b w:val="0"/>
          <w:bCs w:val="0"/>
          <w:color w:val="auto"/>
          <w:kern w:val="44"/>
          <w:sz w:val="32"/>
          <w:szCs w:val="32"/>
          <w:lang w:val="en-US" w:eastAsia="zh-CN"/>
        </w:rPr>
      </w:pPr>
      <w:bookmarkStart w:id="28" w:name="_Toc4718"/>
      <w:r>
        <w:rPr>
          <w:rFonts w:hint="eastAsia" w:cs="Times New Roman"/>
          <w:b w:val="0"/>
          <w:bCs w:val="0"/>
          <w:color w:val="auto"/>
          <w:kern w:val="44"/>
          <w:sz w:val="32"/>
          <w:szCs w:val="32"/>
          <w:lang w:val="en-US" w:eastAsia="zh-CN"/>
        </w:rPr>
        <w:t>五、</w:t>
      </w:r>
      <w:r>
        <w:rPr>
          <w:rFonts w:hint="eastAsia" w:ascii="Times New Roman" w:hAnsi="Times New Roman" w:cs="Times New Roman"/>
          <w:b w:val="0"/>
          <w:bCs w:val="0"/>
          <w:color w:val="auto"/>
          <w:kern w:val="44"/>
          <w:sz w:val="32"/>
          <w:szCs w:val="32"/>
          <w:lang w:val="en-US" w:eastAsia="zh-CN"/>
        </w:rPr>
        <w:t>预期效益分析</w:t>
      </w:r>
      <w:bookmarkEnd w:id="28"/>
    </w:p>
    <w:p>
      <w:pPr>
        <w:pStyle w:val="5"/>
        <w:pageBreakBefore w:val="0"/>
        <w:kinsoku/>
        <w:wordWrap/>
        <w:overflowPunct/>
        <w:topLinePunct w:val="0"/>
        <w:autoSpaceDE/>
        <w:autoSpaceDN/>
        <w:bidi w:val="0"/>
        <w:adjustRightInd w:val="0"/>
        <w:snapToGrid w:val="0"/>
        <w:spacing w:before="0" w:beforeLines="-2147483648" w:after="0" w:afterLines="-2147483648" w:line="360" w:lineRule="auto"/>
        <w:ind w:firstLine="643" w:firstLineChars="200"/>
        <w:textAlignment w:val="auto"/>
        <w:rPr>
          <w:rFonts w:hint="eastAsia" w:eastAsia="楷体" w:cs="Times New Roman"/>
          <w:bCs/>
          <w:color w:val="auto"/>
          <w:lang w:val="en-US" w:eastAsia="zh-CN"/>
        </w:rPr>
      </w:pPr>
      <w:bookmarkStart w:id="29" w:name="_Toc12253"/>
      <w:r>
        <w:rPr>
          <w:rFonts w:hint="eastAsia" w:ascii="Times New Roman" w:hAnsi="Times New Roman" w:eastAsia="楷体" w:cs="Times New Roman"/>
          <w:bCs/>
          <w:color w:val="auto"/>
          <w:lang w:val="en-US" w:eastAsia="zh-CN"/>
        </w:rPr>
        <w:t>（一）</w:t>
      </w:r>
      <w:r>
        <w:rPr>
          <w:rFonts w:hint="eastAsia" w:eastAsia="楷体" w:cs="Times New Roman"/>
          <w:bCs/>
          <w:color w:val="auto"/>
          <w:lang w:val="en-US" w:eastAsia="zh-CN"/>
        </w:rPr>
        <w:t>经济效益</w:t>
      </w:r>
      <w:bookmarkEnd w:id="29"/>
    </w:p>
    <w:p>
      <w:pPr>
        <w:rPr>
          <w:rFonts w:hint="default" w:eastAsia="仿宋"/>
          <w:color w:val="auto"/>
          <w:lang w:val="en-US" w:eastAsia="zh-CN"/>
        </w:rPr>
      </w:pPr>
      <w:r>
        <w:rPr>
          <w:rFonts w:hint="default"/>
          <w:color w:val="auto"/>
          <w:lang w:val="en-US" w:eastAsia="zh-CN"/>
        </w:rPr>
        <w:t>通过产业园创建，</w:t>
      </w:r>
      <w:r>
        <w:rPr>
          <w:rFonts w:hint="eastAsia"/>
          <w:color w:val="auto"/>
          <w:lang w:val="en-US" w:eastAsia="zh-CN"/>
        </w:rPr>
        <w:t>肉鸡</w:t>
      </w:r>
      <w:r>
        <w:rPr>
          <w:rFonts w:hint="default"/>
          <w:color w:val="auto"/>
          <w:lang w:val="en-US" w:eastAsia="zh-CN"/>
        </w:rPr>
        <w:t>主导产业养殖规模、加工规模将得到扩大，主导产业产值将大幅提升。到202</w:t>
      </w:r>
      <w:r>
        <w:rPr>
          <w:rFonts w:hint="eastAsia"/>
          <w:color w:val="auto"/>
          <w:lang w:val="en-US" w:eastAsia="zh-CN"/>
        </w:rPr>
        <w:t>6</w:t>
      </w:r>
      <w:r>
        <w:rPr>
          <w:rFonts w:hint="default"/>
          <w:color w:val="auto"/>
          <w:lang w:val="en-US" w:eastAsia="zh-CN"/>
        </w:rPr>
        <w:t>年，</w:t>
      </w:r>
      <w:r>
        <w:rPr>
          <w:rFonts w:hint="eastAsia"/>
          <w:color w:val="auto"/>
        </w:rPr>
        <w:t>扩大肉鸡</w:t>
      </w:r>
      <w:r>
        <w:rPr>
          <w:rFonts w:hint="eastAsia"/>
          <w:color w:val="auto"/>
          <w:lang w:val="en-US" w:eastAsia="zh-CN"/>
        </w:rPr>
        <w:t>养殖规模达到1.3亿只以上，肉鸡年屠宰</w:t>
      </w:r>
      <w:r>
        <w:rPr>
          <w:rFonts w:hint="eastAsia"/>
          <w:color w:val="auto"/>
        </w:rPr>
        <w:t>加工量</w:t>
      </w:r>
      <w:r>
        <w:rPr>
          <w:rFonts w:hint="eastAsia"/>
          <w:color w:val="auto"/>
          <w:lang w:val="en-US" w:eastAsia="zh-CN"/>
        </w:rPr>
        <w:t>达</w:t>
      </w:r>
      <w:r>
        <w:rPr>
          <w:rFonts w:hint="eastAsia"/>
          <w:color w:val="auto"/>
        </w:rPr>
        <w:t>3亿只，每年转化百万吨玉米，生产160万吨饲料、</w:t>
      </w:r>
      <w:r>
        <w:rPr>
          <w:rFonts w:hint="eastAsia"/>
          <w:color w:val="auto"/>
          <w:highlight w:val="none"/>
          <w:lang w:val="en-US" w:eastAsia="zh-CN"/>
        </w:rPr>
        <w:t>30</w:t>
      </w:r>
      <w:r>
        <w:rPr>
          <w:rFonts w:hint="eastAsia"/>
          <w:color w:val="auto"/>
          <w:highlight w:val="none"/>
        </w:rPr>
        <w:t>万吨鸡肉食品和</w:t>
      </w:r>
      <w:r>
        <w:rPr>
          <w:rFonts w:hint="eastAsia"/>
          <w:color w:val="auto"/>
          <w:highlight w:val="none"/>
          <w:lang w:val="en-US" w:eastAsia="zh-CN"/>
        </w:rPr>
        <w:t>40</w:t>
      </w:r>
      <w:r>
        <w:rPr>
          <w:rFonts w:hint="eastAsia"/>
          <w:color w:val="auto"/>
          <w:highlight w:val="none"/>
        </w:rPr>
        <w:t>万吨有机肥。</w:t>
      </w:r>
      <w:r>
        <w:rPr>
          <w:rFonts w:hint="eastAsia"/>
          <w:color w:val="auto"/>
          <w:highlight w:val="none"/>
          <w:lang w:val="en-US" w:eastAsia="zh-CN"/>
        </w:rPr>
        <w:t>产业园总产值实现200亿元，主导产业产值达到130亿元以上。</w:t>
      </w:r>
    </w:p>
    <w:p>
      <w:pPr>
        <w:pStyle w:val="5"/>
        <w:pageBreakBefore w:val="0"/>
        <w:numPr>
          <w:ilvl w:val="0"/>
          <w:numId w:val="2"/>
        </w:numPr>
        <w:kinsoku/>
        <w:wordWrap/>
        <w:overflowPunct/>
        <w:topLinePunct w:val="0"/>
        <w:autoSpaceDE/>
        <w:autoSpaceDN/>
        <w:bidi w:val="0"/>
        <w:adjustRightInd w:val="0"/>
        <w:snapToGrid w:val="0"/>
        <w:spacing w:before="0" w:beforeLines="-2147483648" w:after="0" w:afterLines="-2147483648" w:line="360" w:lineRule="auto"/>
        <w:ind w:firstLine="643" w:firstLineChars="200"/>
        <w:textAlignment w:val="auto"/>
        <w:rPr>
          <w:rFonts w:hint="eastAsia" w:ascii="Times New Roman" w:hAnsi="Times New Roman" w:eastAsia="楷体" w:cs="Times New Roman"/>
          <w:bCs/>
          <w:color w:val="auto"/>
          <w:lang w:val="en-US" w:eastAsia="zh-CN"/>
        </w:rPr>
      </w:pPr>
      <w:bookmarkStart w:id="30" w:name="_Toc31088"/>
      <w:r>
        <w:rPr>
          <w:rFonts w:hint="eastAsia" w:ascii="Times New Roman" w:hAnsi="Times New Roman" w:eastAsia="楷体" w:cs="Times New Roman"/>
          <w:bCs/>
          <w:color w:val="auto"/>
          <w:lang w:val="en-US" w:eastAsia="zh-CN"/>
        </w:rPr>
        <w:t>社会效益</w:t>
      </w:r>
      <w:bookmarkEnd w:id="30"/>
    </w:p>
    <w:p>
      <w:pPr>
        <w:numPr>
          <w:ilvl w:val="0"/>
          <w:numId w:val="0"/>
        </w:numPr>
        <w:ind w:firstLine="643" w:firstLineChars="200"/>
        <w:rPr>
          <w:rFonts w:hint="default"/>
          <w:color w:val="auto"/>
          <w:lang w:val="en-US" w:eastAsia="zh-CN"/>
        </w:rPr>
      </w:pPr>
      <w:r>
        <w:rPr>
          <w:rFonts w:hint="default"/>
          <w:b/>
          <w:bCs/>
          <w:color w:val="auto"/>
          <w:lang w:val="en-US" w:eastAsia="zh-CN"/>
        </w:rPr>
        <w:t>一是全面提升现代</w:t>
      </w:r>
      <w:r>
        <w:rPr>
          <w:rFonts w:hint="eastAsia"/>
          <w:b/>
          <w:bCs/>
          <w:color w:val="auto"/>
          <w:lang w:val="en-US" w:eastAsia="zh-CN"/>
        </w:rPr>
        <w:t>肉鸡</w:t>
      </w:r>
      <w:r>
        <w:rPr>
          <w:rFonts w:hint="default"/>
          <w:b/>
          <w:bCs/>
          <w:color w:val="auto"/>
          <w:lang w:val="en-US" w:eastAsia="zh-CN"/>
        </w:rPr>
        <w:t>产业科技创新与成果转化能力。</w:t>
      </w:r>
      <w:r>
        <w:rPr>
          <w:rFonts w:hint="default"/>
          <w:color w:val="auto"/>
          <w:lang w:val="en-US" w:eastAsia="zh-CN"/>
        </w:rPr>
        <w:t>园区建成后，将建设成为国家畜产品质量安全示范区、国家畜牧业种养加绿色循环高质量发展先行区、国家农村产业融合发展先导区。现代禽业先进适用技术、高新技术装备成果普遍得到推广和应用。通过创新农业科技成果转化模式及产业化运行机制，使一批农业科技成果应用到实际之中，强化了农业科技成果转化和孵化功能，解决一批</w:t>
      </w:r>
      <w:r>
        <w:rPr>
          <w:rFonts w:hint="eastAsia"/>
          <w:color w:val="auto"/>
          <w:lang w:val="en-US" w:eastAsia="zh-CN"/>
        </w:rPr>
        <w:t>肉鸡</w:t>
      </w:r>
      <w:r>
        <w:rPr>
          <w:rFonts w:hint="default"/>
          <w:color w:val="auto"/>
          <w:lang w:val="en-US" w:eastAsia="zh-CN"/>
        </w:rPr>
        <w:t>产业转型升级健康发展的关键技术难题，形成一批新型经营主体易于接受和应用的</w:t>
      </w:r>
      <w:r>
        <w:rPr>
          <w:rFonts w:hint="eastAsia"/>
          <w:color w:val="auto"/>
          <w:lang w:val="en-US" w:eastAsia="zh-CN"/>
        </w:rPr>
        <w:t>肉鸡产业</w:t>
      </w:r>
      <w:r>
        <w:rPr>
          <w:rFonts w:hint="default"/>
          <w:color w:val="auto"/>
          <w:lang w:val="en-US" w:eastAsia="zh-CN"/>
        </w:rPr>
        <w:t>技术，大幅提高园区及周边农业主导产业的科技含量。园区将成为在不断打造创新链和创业链中实现农业科技成果转化和农业科技创新的重要平台，也成为在校学生毕业实习和从事学术研究实验实习基地。</w:t>
      </w:r>
      <w:r>
        <w:rPr>
          <w:rFonts w:hint="default"/>
          <w:b/>
          <w:bCs/>
          <w:color w:val="auto"/>
          <w:lang w:val="en-US" w:eastAsia="zh-CN"/>
        </w:rPr>
        <w:t>二是促进了农民就业，增加了农民收入。</w:t>
      </w:r>
      <w:r>
        <w:rPr>
          <w:rFonts w:hint="default"/>
          <w:color w:val="auto"/>
          <w:lang w:val="en-US" w:eastAsia="zh-CN"/>
        </w:rPr>
        <w:t>通过园区</w:t>
      </w:r>
      <w:r>
        <w:rPr>
          <w:rFonts w:hint="eastAsia"/>
          <w:color w:val="auto"/>
          <w:lang w:val="en-US" w:eastAsia="zh-CN"/>
        </w:rPr>
        <w:t>肉鸡</w:t>
      </w:r>
      <w:r>
        <w:rPr>
          <w:rFonts w:hint="default"/>
          <w:color w:val="auto"/>
          <w:lang w:val="en-US" w:eastAsia="zh-CN"/>
        </w:rPr>
        <w:t>主导产业新品种、新技术、新产品、新装备的研发、集成、示范与推广，农产品深加工、农产品交易、综合服务、仓储及物流等产业链的延伸，休闲农业和乡村旅游的发展，农村一二三产业深度融合，不仅增加了特色农产品附加值，同时也增加了大量的就业岗位。到</w:t>
      </w:r>
      <w:r>
        <w:rPr>
          <w:rFonts w:hint="eastAsia"/>
          <w:color w:val="auto"/>
          <w:lang w:val="en-US" w:eastAsia="zh-CN"/>
        </w:rPr>
        <w:t>2026</w:t>
      </w:r>
      <w:r>
        <w:rPr>
          <w:rFonts w:hint="default"/>
          <w:color w:val="auto"/>
          <w:lang w:val="en-US" w:eastAsia="zh-CN"/>
        </w:rPr>
        <w:t>年，</w:t>
      </w:r>
      <w:r>
        <w:rPr>
          <w:rFonts w:hint="eastAsia"/>
          <w:color w:val="auto"/>
          <w:lang w:val="en-US" w:eastAsia="zh-CN"/>
        </w:rPr>
        <w:t>全园区</w:t>
      </w:r>
      <w:r>
        <w:rPr>
          <w:rFonts w:hint="default"/>
          <w:color w:val="auto"/>
          <w:lang w:val="en-US" w:eastAsia="zh-CN"/>
        </w:rPr>
        <w:t>从业</w:t>
      </w:r>
      <w:r>
        <w:rPr>
          <w:rFonts w:hint="eastAsia"/>
          <w:color w:val="auto"/>
          <w:lang w:val="en-US" w:eastAsia="zh-CN"/>
        </w:rPr>
        <w:t>肉鸡</w:t>
      </w:r>
      <w:r>
        <w:rPr>
          <w:rFonts w:hint="default"/>
          <w:color w:val="auto"/>
          <w:lang w:val="en-US" w:eastAsia="zh-CN"/>
        </w:rPr>
        <w:t>产业人员总数将达到</w:t>
      </w:r>
      <w:r>
        <w:rPr>
          <w:rFonts w:hint="eastAsia"/>
          <w:color w:val="auto"/>
          <w:lang w:val="en-US" w:eastAsia="zh-CN"/>
        </w:rPr>
        <w:t>7.5</w:t>
      </w:r>
      <w:r>
        <w:rPr>
          <w:rFonts w:hint="default"/>
          <w:color w:val="auto"/>
          <w:lang w:val="en-US" w:eastAsia="zh-CN"/>
        </w:rPr>
        <w:t>万人，产业园内农村居民人均可支配收入将达到</w:t>
      </w:r>
      <w:r>
        <w:rPr>
          <w:rFonts w:hint="eastAsia"/>
          <w:color w:val="auto"/>
          <w:lang w:val="en-US" w:eastAsia="zh-CN"/>
        </w:rPr>
        <w:t>2.97万</w:t>
      </w:r>
      <w:r>
        <w:rPr>
          <w:rFonts w:hint="default"/>
          <w:color w:val="auto"/>
          <w:lang w:val="en-US" w:eastAsia="zh-CN"/>
        </w:rPr>
        <w:t>元，超出</w:t>
      </w:r>
      <w:r>
        <w:rPr>
          <w:rFonts w:hint="eastAsia"/>
          <w:color w:val="auto"/>
          <w:lang w:val="en-US" w:eastAsia="zh-CN"/>
        </w:rPr>
        <w:t>全市</w:t>
      </w:r>
      <w:r>
        <w:rPr>
          <w:rFonts w:hint="default"/>
          <w:color w:val="auto"/>
          <w:lang w:val="en-US" w:eastAsia="zh-CN"/>
        </w:rPr>
        <w:t>农村居民人均可支配收入</w:t>
      </w:r>
      <w:r>
        <w:rPr>
          <w:rFonts w:hint="eastAsia"/>
          <w:color w:val="auto"/>
          <w:lang w:val="en-US" w:eastAsia="zh-CN"/>
        </w:rPr>
        <w:t>32</w:t>
      </w:r>
      <w:r>
        <w:rPr>
          <w:rFonts w:hint="default"/>
          <w:color w:val="auto"/>
          <w:lang w:val="en-US" w:eastAsia="zh-CN"/>
        </w:rPr>
        <w:t>%。</w:t>
      </w:r>
    </w:p>
    <w:p>
      <w:pPr>
        <w:pStyle w:val="5"/>
        <w:pageBreakBefore w:val="0"/>
        <w:kinsoku/>
        <w:wordWrap/>
        <w:overflowPunct/>
        <w:topLinePunct w:val="0"/>
        <w:autoSpaceDE/>
        <w:autoSpaceDN/>
        <w:bidi w:val="0"/>
        <w:adjustRightInd w:val="0"/>
        <w:snapToGrid w:val="0"/>
        <w:spacing w:before="0" w:beforeLines="-2147483648" w:after="0" w:afterLines="-2147483648" w:line="360" w:lineRule="auto"/>
        <w:ind w:firstLine="643" w:firstLineChars="200"/>
        <w:textAlignment w:val="auto"/>
        <w:rPr>
          <w:rFonts w:hint="default" w:ascii="Times New Roman" w:hAnsi="Times New Roman" w:eastAsia="楷体" w:cs="Times New Roman"/>
          <w:bCs/>
          <w:color w:val="auto"/>
          <w:lang w:val="en-US" w:eastAsia="zh-CN"/>
        </w:rPr>
      </w:pPr>
      <w:bookmarkStart w:id="31" w:name="_Toc25476"/>
      <w:r>
        <w:rPr>
          <w:rFonts w:hint="eastAsia" w:ascii="Times New Roman" w:hAnsi="Times New Roman" w:eastAsia="楷体" w:cs="Times New Roman"/>
          <w:bCs/>
          <w:color w:val="auto"/>
          <w:lang w:val="en-US" w:eastAsia="zh-CN"/>
        </w:rPr>
        <w:t>（三）生态效益</w:t>
      </w:r>
      <w:bookmarkEnd w:id="31"/>
    </w:p>
    <w:p>
      <w:pPr>
        <w:rPr>
          <w:rFonts w:hint="eastAsia"/>
          <w:color w:val="auto"/>
          <w:lang w:val="en-US" w:eastAsia="zh-CN"/>
        </w:rPr>
      </w:pPr>
      <w:r>
        <w:rPr>
          <w:rFonts w:hint="eastAsia"/>
          <w:color w:val="auto"/>
          <w:lang w:val="en-US" w:eastAsia="zh-CN"/>
        </w:rPr>
        <w:t>国家现代农业产业园建设将牢固树立并深入贯彻“绿水青山就是金山银山”理念，在发展的同时，注重生态保护，实现生产生活生态“三生共进”。进一步优化肉鸡产业生产力布局，严格执行畜禽禁养区规划，做到禁养区全面禁养、限养区只减不增、适养区提标升级，以有机肥场改扩建项目、畜禽粪污处理中心为依托，巩固提升规模肉鸡养殖场粪污资源化利用水平，到2026年，园区畜禽粪污资源化利用率达到98%以上。充分利用现有的资源优势，借助粪污资源化利用，实现家禽粪便就近就地转化消纳。</w:t>
      </w:r>
    </w:p>
    <w:p>
      <w:pPr>
        <w:pStyle w:val="4"/>
        <w:pageBreakBefore w:val="0"/>
        <w:widowControl w:val="0"/>
        <w:kinsoku/>
        <w:wordWrap/>
        <w:overflowPunct/>
        <w:topLinePunct w:val="0"/>
        <w:autoSpaceDE/>
        <w:autoSpaceDN/>
        <w:bidi w:val="0"/>
        <w:adjustRightInd w:val="0"/>
        <w:snapToGrid w:val="0"/>
        <w:spacing w:before="0" w:beforeLines="0" w:after="0" w:line="360" w:lineRule="auto"/>
        <w:ind w:firstLine="640" w:firstLineChars="200"/>
        <w:jc w:val="left"/>
        <w:textAlignment w:val="auto"/>
        <w:rPr>
          <w:rFonts w:hint="eastAsia" w:ascii="Times New Roman" w:hAnsi="Times New Roman" w:cs="Times New Roman"/>
          <w:b w:val="0"/>
          <w:bCs w:val="0"/>
          <w:color w:val="auto"/>
          <w:kern w:val="44"/>
          <w:sz w:val="32"/>
          <w:szCs w:val="32"/>
          <w:lang w:val="en-US" w:eastAsia="zh-CN"/>
        </w:rPr>
      </w:pPr>
      <w:bookmarkStart w:id="32" w:name="_Toc2956"/>
      <w:r>
        <w:rPr>
          <w:rFonts w:hint="eastAsia" w:cs="Times New Roman"/>
          <w:b w:val="0"/>
          <w:bCs w:val="0"/>
          <w:color w:val="auto"/>
          <w:kern w:val="44"/>
          <w:sz w:val="32"/>
          <w:szCs w:val="32"/>
          <w:lang w:val="en-US" w:eastAsia="zh-CN"/>
        </w:rPr>
        <w:t>六、</w:t>
      </w:r>
      <w:r>
        <w:rPr>
          <w:rFonts w:hint="eastAsia" w:ascii="Times New Roman" w:hAnsi="Times New Roman" w:cs="Times New Roman"/>
          <w:b w:val="0"/>
          <w:bCs w:val="0"/>
          <w:color w:val="auto"/>
          <w:kern w:val="44"/>
          <w:sz w:val="32"/>
          <w:szCs w:val="32"/>
          <w:lang w:val="en-US" w:eastAsia="zh-CN"/>
        </w:rPr>
        <w:t>绩效管理措施</w:t>
      </w:r>
      <w:bookmarkEnd w:id="32"/>
    </w:p>
    <w:p>
      <w:pPr>
        <w:pStyle w:val="5"/>
        <w:pageBreakBefore w:val="0"/>
        <w:kinsoku/>
        <w:wordWrap/>
        <w:overflowPunct/>
        <w:topLinePunct w:val="0"/>
        <w:autoSpaceDE/>
        <w:autoSpaceDN/>
        <w:bidi w:val="0"/>
        <w:adjustRightInd w:val="0"/>
        <w:snapToGrid w:val="0"/>
        <w:spacing w:before="0" w:beforeLines="-2147483648" w:after="0" w:afterLines="-2147483648" w:line="360" w:lineRule="auto"/>
        <w:ind w:firstLine="643" w:firstLineChars="200"/>
        <w:textAlignment w:val="auto"/>
        <w:rPr>
          <w:rFonts w:hint="default" w:ascii="Times New Roman" w:hAnsi="Times New Roman" w:eastAsia="楷体" w:cs="Times New Roman"/>
          <w:bCs/>
          <w:color w:val="auto"/>
          <w:lang w:val="en-US" w:eastAsia="zh-CN"/>
        </w:rPr>
      </w:pPr>
      <w:bookmarkStart w:id="33" w:name="_Toc10802"/>
      <w:bookmarkStart w:id="34" w:name="_Toc2974"/>
      <w:bookmarkStart w:id="35" w:name="_Toc15193"/>
      <w:bookmarkStart w:id="36" w:name="_Toc28827"/>
      <w:r>
        <w:rPr>
          <w:rFonts w:hint="eastAsia" w:ascii="Times New Roman" w:hAnsi="Times New Roman" w:eastAsia="楷体" w:cs="Times New Roman"/>
          <w:bCs/>
          <w:color w:val="auto"/>
          <w:lang w:val="en-US" w:eastAsia="zh-CN"/>
        </w:rPr>
        <w:t>（一）</w:t>
      </w:r>
      <w:bookmarkEnd w:id="33"/>
      <w:bookmarkEnd w:id="34"/>
      <w:bookmarkEnd w:id="35"/>
      <w:r>
        <w:rPr>
          <w:rFonts w:hint="eastAsia" w:eastAsia="楷体" w:cs="Times New Roman"/>
          <w:bCs/>
          <w:color w:val="auto"/>
          <w:lang w:val="en-US" w:eastAsia="zh-CN"/>
        </w:rPr>
        <w:t>使用监管办法</w:t>
      </w:r>
      <w:bookmarkEnd w:id="36"/>
    </w:p>
    <w:p>
      <w:pPr>
        <w:adjustRightInd w:val="0"/>
        <w:snapToGrid w:val="0"/>
        <w:spacing w:line="360" w:lineRule="auto"/>
        <w:ind w:firstLine="643" w:firstLineChars="200"/>
        <w:rPr>
          <w:rFonts w:hint="default" w:ascii="Times New Roman" w:hAnsi="Times New Roman" w:eastAsia="仿宋" w:cs="Times New Roman"/>
          <w:b/>
          <w:bCs w:val="0"/>
          <w:color w:val="auto"/>
          <w:sz w:val="32"/>
          <w:szCs w:val="32"/>
          <w:highlight w:val="none"/>
          <w:lang w:val="en-US" w:eastAsia="zh-CN"/>
        </w:rPr>
      </w:pPr>
      <w:r>
        <w:rPr>
          <w:rFonts w:hint="default" w:ascii="Times New Roman" w:hAnsi="Times New Roman" w:eastAsia="仿宋" w:cs="Times New Roman"/>
          <w:b/>
          <w:bCs w:val="0"/>
          <w:color w:val="auto"/>
          <w:sz w:val="32"/>
          <w:szCs w:val="32"/>
          <w:highlight w:val="none"/>
          <w:lang w:val="en-US" w:eastAsia="zh-CN"/>
        </w:rPr>
        <w:t>1、加强组织领导，明确责任</w:t>
      </w:r>
    </w:p>
    <w:p>
      <w:pPr>
        <w:adjustRightInd w:val="0"/>
        <w:snapToGrid w:val="0"/>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项目审核确定后，市财政部门和农业农村主管部门按各自职能对财政资金的使用管理工作负责，由财政部门负责财政资金的预算和拨付；在农业农村设立专账管理，由农业农村主管部门负责园区项目审批和资金分配及调剂。</w:t>
      </w:r>
      <w:r>
        <w:rPr>
          <w:rFonts w:hint="eastAsia" w:ascii="仿宋" w:hAnsi="仿宋" w:eastAsia="仿宋" w:cs="仿宋"/>
          <w:color w:val="auto"/>
          <w:sz w:val="32"/>
          <w:szCs w:val="32"/>
          <w:highlight w:val="none"/>
          <w:lang w:val="en-US" w:eastAsia="zh-CN"/>
        </w:rPr>
        <w:t>德惠</w:t>
      </w:r>
      <w:r>
        <w:rPr>
          <w:rFonts w:hint="eastAsia" w:ascii="仿宋" w:hAnsi="仿宋" w:eastAsia="仿宋" w:cs="仿宋"/>
          <w:color w:val="auto"/>
          <w:sz w:val="32"/>
          <w:szCs w:val="32"/>
          <w:highlight w:val="none"/>
        </w:rPr>
        <w:t>市现代农业产业园管理委员会负责项目具体实施工作，与农业农村主管部门和项目单位一起负责编制项目及其预算草案、可行性方案并提出用款计划，按规定合理、有效使用财政资金，收集、汇总、定期报送资金使用管理信息。财政部门负责审核下达项目预算、组织调度财政资金，定期报告财政资金的收支结余和使用与管理情况。审计部门负责对补助资金的分配管理使用进行审计。</w:t>
      </w:r>
    </w:p>
    <w:p>
      <w:pPr>
        <w:adjustRightInd w:val="0"/>
        <w:snapToGrid w:val="0"/>
        <w:spacing w:line="360" w:lineRule="auto"/>
        <w:ind w:firstLine="643" w:firstLineChars="200"/>
        <w:rPr>
          <w:rFonts w:hint="default" w:ascii="Times New Roman" w:hAnsi="Times New Roman" w:eastAsia="仿宋" w:cs="Times New Roman"/>
          <w:b/>
          <w:bCs w:val="0"/>
          <w:color w:val="auto"/>
          <w:sz w:val="32"/>
          <w:szCs w:val="32"/>
          <w:highlight w:val="none"/>
          <w:lang w:val="en-US" w:eastAsia="zh-CN"/>
        </w:rPr>
      </w:pPr>
      <w:r>
        <w:rPr>
          <w:rFonts w:hint="eastAsia" w:ascii="Times New Roman" w:hAnsi="Times New Roman" w:eastAsia="仿宋" w:cs="Times New Roman"/>
          <w:b/>
          <w:bCs w:val="0"/>
          <w:color w:val="auto"/>
          <w:sz w:val="32"/>
          <w:szCs w:val="32"/>
          <w:highlight w:val="none"/>
          <w:lang w:val="en-US" w:eastAsia="zh-CN"/>
        </w:rPr>
        <w:t>2、建立健全管理制度，</w:t>
      </w:r>
      <w:r>
        <w:rPr>
          <w:rFonts w:hint="eastAsia" w:ascii="Times New Roman" w:hAnsi="Times New Roman" w:cs="Times New Roman"/>
          <w:b/>
          <w:bCs w:val="0"/>
          <w:color w:val="auto"/>
          <w:sz w:val="32"/>
          <w:szCs w:val="32"/>
          <w:highlight w:val="none"/>
          <w:lang w:val="en-US" w:eastAsia="zh-CN"/>
        </w:rPr>
        <w:t>实行考核问责</w:t>
      </w:r>
    </w:p>
    <w:p>
      <w:pPr>
        <w:adjustRightInd w:val="0"/>
        <w:snapToGrid w:val="0"/>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建立健全财政资金管理责任制度，</w:t>
      </w:r>
      <w:r>
        <w:rPr>
          <w:rFonts w:hint="eastAsia" w:ascii="仿宋" w:hAnsi="仿宋" w:eastAsia="仿宋" w:cs="仿宋"/>
          <w:color w:val="auto"/>
          <w:sz w:val="32"/>
          <w:szCs w:val="48"/>
          <w:highlight w:val="none"/>
        </w:rPr>
        <w:t>专项资金报账拨付要附真实、有效、合法的凭证。</w:t>
      </w:r>
      <w:r>
        <w:rPr>
          <w:rFonts w:hint="eastAsia" w:ascii="仿宋" w:hAnsi="仿宋" w:eastAsia="仿宋" w:cs="仿宋"/>
          <w:color w:val="auto"/>
          <w:sz w:val="32"/>
          <w:szCs w:val="32"/>
          <w:highlight w:val="none"/>
        </w:rPr>
        <w:t>进行全过程管理，杜绝虚假支出，不得任意改变项目内容或扩大使用范围，保证专款专用，确保财政资金使用的安全性、规范性和有效性。充分发挥财政、审计、纪检监察部门的监督作用，加强对产业园财政专项资金使用的监督，对财政资金使用低效、未完成目标任务以及发生财政资金挤占、挪用和损失浪费的项目单位，追究主要负责人责任，切实保障奖补资金使用绩效。对触犯刑律的，依法移交司法机关处理。</w:t>
      </w:r>
    </w:p>
    <w:p>
      <w:pPr>
        <w:pStyle w:val="5"/>
        <w:pageBreakBefore w:val="0"/>
        <w:kinsoku/>
        <w:wordWrap/>
        <w:overflowPunct/>
        <w:topLinePunct w:val="0"/>
        <w:autoSpaceDE/>
        <w:autoSpaceDN/>
        <w:bidi w:val="0"/>
        <w:adjustRightInd w:val="0"/>
        <w:snapToGrid w:val="0"/>
        <w:spacing w:before="0" w:beforeLines="-2147483648" w:after="0" w:afterLines="-2147483648" w:line="360" w:lineRule="auto"/>
        <w:ind w:firstLine="643" w:firstLineChars="200"/>
        <w:textAlignment w:val="auto"/>
        <w:rPr>
          <w:rFonts w:hint="default" w:ascii="Times New Roman" w:hAnsi="Times New Roman" w:eastAsia="楷体" w:cs="Times New Roman"/>
          <w:bCs/>
          <w:color w:val="auto"/>
          <w:lang w:val="en-US" w:eastAsia="zh-CN"/>
        </w:rPr>
      </w:pPr>
      <w:bookmarkStart w:id="37" w:name="_Toc1519"/>
      <w:bookmarkStart w:id="38" w:name="_Toc6670"/>
      <w:bookmarkStart w:id="39" w:name="_Toc14890"/>
      <w:r>
        <w:rPr>
          <w:rFonts w:hint="eastAsia" w:ascii="Times New Roman" w:hAnsi="Times New Roman" w:eastAsia="楷体" w:cs="Times New Roman"/>
          <w:bCs/>
          <w:color w:val="auto"/>
          <w:lang w:val="en-US" w:eastAsia="zh-CN"/>
        </w:rPr>
        <w:t>（二）</w:t>
      </w:r>
      <w:bookmarkEnd w:id="37"/>
      <w:bookmarkEnd w:id="38"/>
      <w:r>
        <w:rPr>
          <w:rFonts w:hint="eastAsia" w:ascii="Times New Roman" w:hAnsi="Times New Roman" w:eastAsia="楷体" w:cs="Times New Roman"/>
          <w:bCs/>
          <w:color w:val="auto"/>
          <w:lang w:val="en-US" w:eastAsia="zh-CN"/>
        </w:rPr>
        <w:t>绩效评价</w:t>
      </w:r>
      <w:bookmarkEnd w:id="39"/>
    </w:p>
    <w:p>
      <w:pPr>
        <w:pageBreakBefore w:val="0"/>
        <w:kinsoku/>
        <w:wordWrap/>
        <w:overflowPunct/>
        <w:topLinePunct w:val="0"/>
        <w:autoSpaceDE/>
        <w:autoSpaceDN/>
        <w:bidi w:val="0"/>
        <w:adjustRightInd w:val="0"/>
        <w:snapToGrid w:val="0"/>
        <w:spacing w:line="360" w:lineRule="auto"/>
        <w:ind w:firstLine="640"/>
        <w:textAlignment w:val="auto"/>
        <w:rPr>
          <w:rFonts w:hint="default" w:ascii="仿宋" w:hAnsi="仿宋" w:eastAsia="仿宋" w:cs="宋体"/>
          <w:color w:val="auto"/>
          <w:sz w:val="32"/>
          <w:szCs w:val="32"/>
          <w:highlight w:val="none"/>
          <w:lang w:val="en-US" w:eastAsia="zh-CN"/>
        </w:rPr>
      </w:pPr>
      <w:r>
        <w:rPr>
          <w:rFonts w:hint="eastAsia" w:ascii="仿宋" w:hAnsi="仿宋" w:cs="仿宋"/>
          <w:b/>
          <w:bCs/>
          <w:color w:val="auto"/>
          <w:szCs w:val="32"/>
          <w:lang w:val="en-US" w:eastAsia="zh-CN"/>
        </w:rPr>
        <w:t>一是</w:t>
      </w:r>
      <w:r>
        <w:rPr>
          <w:rFonts w:hint="eastAsia" w:ascii="仿宋" w:hAnsi="仿宋" w:cs="仿宋"/>
          <w:b/>
          <w:bCs/>
          <w:color w:val="auto"/>
          <w:szCs w:val="32"/>
        </w:rPr>
        <w:t>建立考核指标体系</w:t>
      </w:r>
      <w:r>
        <w:rPr>
          <w:rFonts w:hint="eastAsia" w:ascii="仿宋" w:hAnsi="仿宋" w:cs="仿宋"/>
          <w:b/>
          <w:bCs/>
          <w:color w:val="auto"/>
          <w:szCs w:val="32"/>
          <w:lang w:eastAsia="zh-CN"/>
        </w:rPr>
        <w:t>。</w:t>
      </w:r>
      <w:r>
        <w:rPr>
          <w:rFonts w:hint="eastAsia" w:ascii="仿宋" w:hAnsi="仿宋" w:cs="仿宋"/>
          <w:color w:val="auto"/>
          <w:szCs w:val="32"/>
        </w:rPr>
        <w:t>实施绩效考评，推动提高政府管理效率、资金使用效益和公共服务水平。绩效考评的内容可分为项目考评和财务考评，其中项目考评指标包括项目与产业园创建规划的一致性、立项目标完成情况、项目组织管理情况等内容；财务考评指标包括财务计划的科学性、资金配套落实情况、实际支出情况、财务信息质量、财务管理状况等内容。通过进行全过程管理，杜绝虚假支出，不得任意改变项目内容或扩大使用范围，保证专款专用，确保财政资金使用的安全性、规范性和有效性。</w:t>
      </w:r>
      <w:r>
        <w:rPr>
          <w:rFonts w:hint="eastAsia" w:ascii="仿宋" w:hAnsi="仿宋" w:cs="仿宋"/>
          <w:b/>
          <w:bCs/>
          <w:color w:val="auto"/>
          <w:szCs w:val="32"/>
          <w:lang w:val="en-US" w:eastAsia="zh-CN"/>
        </w:rPr>
        <w:t>二是</w:t>
      </w:r>
      <w:r>
        <w:rPr>
          <w:rFonts w:hint="eastAsia" w:ascii="仿宋" w:hAnsi="仿宋" w:eastAsia="仿宋" w:cs="宋体"/>
          <w:b/>
          <w:bCs/>
          <w:color w:val="auto"/>
          <w:sz w:val="32"/>
          <w:szCs w:val="32"/>
          <w:highlight w:val="none"/>
        </w:rPr>
        <w:t>定期开展调度工作</w:t>
      </w:r>
      <w:r>
        <w:rPr>
          <w:rFonts w:hint="eastAsia" w:ascii="仿宋" w:hAnsi="仿宋" w:cs="宋体"/>
          <w:b/>
          <w:bCs/>
          <w:color w:val="auto"/>
          <w:sz w:val="32"/>
          <w:szCs w:val="32"/>
          <w:highlight w:val="none"/>
          <w:lang w:eastAsia="zh-CN"/>
        </w:rPr>
        <w:t>。</w:t>
      </w:r>
      <w:r>
        <w:rPr>
          <w:rFonts w:hint="eastAsia" w:ascii="仿宋" w:hAnsi="仿宋" w:eastAsia="仿宋" w:cs="宋体"/>
          <w:color w:val="auto"/>
          <w:sz w:val="32"/>
          <w:szCs w:val="32"/>
          <w:highlight w:val="none"/>
        </w:rPr>
        <w:t>定期通报各责任单位工作进展情况，严格按照工作进展和完成情况兑现奖惩，形成激励先进、鞭策后进的工作机制。对成效显著、带动农户增收作用明显的入园企业给予重点政策倾斜。</w:t>
      </w:r>
      <w:r>
        <w:rPr>
          <w:rFonts w:hint="eastAsia" w:ascii="仿宋" w:hAnsi="仿宋" w:cs="宋体"/>
          <w:b/>
          <w:bCs/>
          <w:color w:val="auto"/>
          <w:sz w:val="32"/>
          <w:szCs w:val="32"/>
          <w:highlight w:val="none"/>
          <w:lang w:val="en-US" w:eastAsia="zh-CN"/>
        </w:rPr>
        <w:t>三是明确奖惩措施。</w:t>
      </w:r>
      <w:r>
        <w:rPr>
          <w:rFonts w:hint="eastAsia" w:ascii="仿宋" w:hAnsi="仿宋" w:cs="宋体"/>
          <w:color w:val="auto"/>
          <w:sz w:val="32"/>
          <w:szCs w:val="32"/>
          <w:highlight w:val="none"/>
          <w:lang w:val="en-US" w:eastAsia="zh-CN"/>
        </w:rPr>
        <w:t>绩效评价结果为“合格”的，结合工作实际需要予以充分保障（奖补）；“不合格”的，在整改到位的基础上，维持原有预算规模，否则不予安排。</w:t>
      </w:r>
    </w:p>
    <w:p>
      <w:pPr>
        <w:pStyle w:val="5"/>
        <w:pageBreakBefore w:val="0"/>
        <w:kinsoku/>
        <w:wordWrap/>
        <w:overflowPunct/>
        <w:topLinePunct w:val="0"/>
        <w:autoSpaceDE/>
        <w:autoSpaceDN/>
        <w:bidi w:val="0"/>
        <w:adjustRightInd w:val="0"/>
        <w:snapToGrid w:val="0"/>
        <w:spacing w:before="0" w:beforeLines="-2147483648" w:after="0" w:afterLines="-2147483648" w:line="360" w:lineRule="auto"/>
        <w:ind w:firstLine="643" w:firstLineChars="200"/>
        <w:textAlignment w:val="auto"/>
        <w:rPr>
          <w:rFonts w:hint="default" w:ascii="Times New Roman" w:hAnsi="Times New Roman" w:eastAsia="楷体" w:cs="Times New Roman"/>
          <w:bCs/>
          <w:color w:val="auto"/>
          <w:lang w:val="en-US" w:eastAsia="zh-CN"/>
        </w:rPr>
      </w:pPr>
      <w:bookmarkStart w:id="40" w:name="_Toc12991"/>
      <w:bookmarkStart w:id="41" w:name="_Toc4574"/>
      <w:bookmarkStart w:id="42" w:name="_Toc694"/>
      <w:r>
        <w:rPr>
          <w:rFonts w:hint="eastAsia" w:ascii="Times New Roman" w:hAnsi="Times New Roman" w:eastAsia="楷体" w:cs="Times New Roman"/>
          <w:bCs/>
          <w:color w:val="auto"/>
          <w:lang w:val="en-US" w:eastAsia="zh-CN"/>
        </w:rPr>
        <w:t>（三）</w:t>
      </w:r>
      <w:bookmarkEnd w:id="40"/>
      <w:bookmarkEnd w:id="41"/>
      <w:r>
        <w:rPr>
          <w:rFonts w:hint="eastAsia" w:ascii="Times New Roman" w:hAnsi="Times New Roman" w:eastAsia="楷体" w:cs="Times New Roman"/>
          <w:bCs/>
          <w:color w:val="auto"/>
          <w:lang w:val="en-US" w:eastAsia="zh-CN"/>
        </w:rPr>
        <w:t>中央财政奖补资金使用管理办法</w:t>
      </w:r>
      <w:bookmarkEnd w:id="42"/>
    </w:p>
    <w:p>
      <w:pPr>
        <w:numPr>
          <w:ilvl w:val="0"/>
          <w:numId w:val="0"/>
        </w:numPr>
        <w:bidi w:val="0"/>
        <w:ind w:firstLine="640" w:firstLineChars="200"/>
        <w:jc w:val="both"/>
        <w:rPr>
          <w:rFonts w:hint="default"/>
          <w:color w:val="auto"/>
          <w:sz w:val="32"/>
          <w:szCs w:val="32"/>
          <w:lang w:val="en-US" w:eastAsia="zh-CN"/>
        </w:rPr>
      </w:pPr>
      <w:bookmarkStart w:id="43" w:name="_Toc31494"/>
      <w:r>
        <w:rPr>
          <w:rFonts w:hint="eastAsia"/>
          <w:color w:val="auto"/>
          <w:sz w:val="32"/>
          <w:szCs w:val="32"/>
          <w:lang w:val="en-US" w:eastAsia="zh-CN"/>
        </w:rPr>
        <w:t>德惠市制定出台了国家现代农业产业园中央财政奖补资金使用管理办法</w:t>
      </w:r>
      <w:bookmarkEnd w:id="43"/>
      <w:r>
        <w:rPr>
          <w:rFonts w:hint="eastAsia"/>
          <w:color w:val="auto"/>
          <w:sz w:val="32"/>
          <w:szCs w:val="32"/>
          <w:lang w:val="en-US" w:eastAsia="zh-CN"/>
        </w:rPr>
        <w:t>，德惠市人民政府已批复同意予以下发。</w:t>
      </w:r>
    </w:p>
    <w:p>
      <w:pPr>
        <w:pStyle w:val="4"/>
        <w:pageBreakBefore w:val="0"/>
        <w:widowControl w:val="0"/>
        <w:numPr>
          <w:ilvl w:val="0"/>
          <w:numId w:val="3"/>
        </w:numPr>
        <w:kinsoku/>
        <w:wordWrap/>
        <w:overflowPunct/>
        <w:topLinePunct w:val="0"/>
        <w:autoSpaceDE/>
        <w:autoSpaceDN/>
        <w:bidi w:val="0"/>
        <w:adjustRightInd w:val="0"/>
        <w:snapToGrid w:val="0"/>
        <w:spacing w:before="0" w:beforeLines="0" w:after="0" w:line="360" w:lineRule="auto"/>
        <w:ind w:firstLine="640" w:firstLineChars="200"/>
        <w:jc w:val="left"/>
        <w:textAlignment w:val="auto"/>
        <w:rPr>
          <w:rFonts w:hint="eastAsia" w:ascii="Times New Roman" w:hAnsi="Times New Roman" w:cs="Times New Roman"/>
          <w:b w:val="0"/>
          <w:bCs w:val="0"/>
          <w:color w:val="auto"/>
          <w:kern w:val="44"/>
          <w:sz w:val="32"/>
          <w:szCs w:val="32"/>
          <w:lang w:val="en-US" w:eastAsia="zh-CN"/>
        </w:rPr>
      </w:pPr>
      <w:bookmarkStart w:id="44" w:name="_Toc19223"/>
      <w:r>
        <w:rPr>
          <w:rFonts w:hint="eastAsia" w:ascii="Times New Roman" w:hAnsi="Times New Roman" w:cs="Times New Roman"/>
          <w:b w:val="0"/>
          <w:bCs w:val="0"/>
          <w:color w:val="auto"/>
          <w:kern w:val="44"/>
          <w:sz w:val="32"/>
          <w:szCs w:val="32"/>
          <w:lang w:val="en-US" w:eastAsia="zh-CN"/>
        </w:rPr>
        <w:t>保障措施</w:t>
      </w:r>
      <w:bookmarkEnd w:id="44"/>
    </w:p>
    <w:p>
      <w:pPr>
        <w:pStyle w:val="5"/>
        <w:pageBreakBefore w:val="0"/>
        <w:numPr>
          <w:ilvl w:val="0"/>
          <w:numId w:val="4"/>
        </w:numPr>
        <w:kinsoku/>
        <w:wordWrap/>
        <w:overflowPunct/>
        <w:topLinePunct w:val="0"/>
        <w:autoSpaceDE/>
        <w:autoSpaceDN/>
        <w:bidi w:val="0"/>
        <w:adjustRightInd w:val="0"/>
        <w:snapToGrid w:val="0"/>
        <w:spacing w:before="0" w:beforeLines="-2147483648" w:after="0" w:afterLines="-2147483648" w:line="360" w:lineRule="auto"/>
        <w:ind w:firstLine="643" w:firstLineChars="200"/>
        <w:textAlignment w:val="auto"/>
        <w:rPr>
          <w:rFonts w:hint="eastAsia" w:ascii="Times New Roman" w:hAnsi="Times New Roman" w:eastAsia="楷体" w:cs="Times New Roman"/>
          <w:bCs/>
          <w:color w:val="auto"/>
          <w:lang w:val="en-US" w:eastAsia="zh-CN"/>
        </w:rPr>
      </w:pPr>
      <w:bookmarkStart w:id="45" w:name="_Toc5843"/>
      <w:r>
        <w:rPr>
          <w:rFonts w:hint="eastAsia" w:ascii="Times New Roman" w:hAnsi="Times New Roman" w:eastAsia="楷体" w:cs="Times New Roman"/>
          <w:bCs/>
          <w:color w:val="auto"/>
          <w:lang w:val="en-US" w:eastAsia="zh-CN"/>
        </w:rPr>
        <w:t>组织领导</w:t>
      </w:r>
      <w:bookmarkEnd w:id="45"/>
    </w:p>
    <w:p>
      <w:pPr>
        <w:numPr>
          <w:ilvl w:val="0"/>
          <w:numId w:val="0"/>
        </w:numPr>
        <w:ind w:firstLine="643" w:firstLineChars="200"/>
        <w:rPr>
          <w:rFonts w:hint="default"/>
          <w:color w:val="auto"/>
          <w:lang w:val="en-US" w:eastAsia="zh-CN"/>
        </w:rPr>
      </w:pPr>
      <w:r>
        <w:rPr>
          <w:rFonts w:hint="default"/>
          <w:b/>
          <w:bCs/>
          <w:color w:val="auto"/>
          <w:lang w:val="en-US" w:eastAsia="zh-CN"/>
        </w:rPr>
        <w:t>一是</w:t>
      </w:r>
      <w:r>
        <w:rPr>
          <w:rFonts w:hint="default"/>
          <w:color w:val="auto"/>
          <w:lang w:val="en-US" w:eastAsia="zh-CN"/>
        </w:rPr>
        <w:t>要充分发挥</w:t>
      </w:r>
      <w:r>
        <w:rPr>
          <w:rFonts w:hint="eastAsia"/>
          <w:color w:val="auto"/>
          <w:lang w:val="en-US" w:eastAsia="zh-CN"/>
        </w:rPr>
        <w:t>德惠市</w:t>
      </w:r>
      <w:r>
        <w:rPr>
          <w:rFonts w:hint="default"/>
          <w:color w:val="auto"/>
          <w:lang w:val="en-US" w:eastAsia="zh-CN"/>
        </w:rPr>
        <w:t>国家现代农业（</w:t>
      </w:r>
      <w:r>
        <w:rPr>
          <w:rFonts w:hint="eastAsia"/>
          <w:color w:val="auto"/>
          <w:lang w:val="en-US" w:eastAsia="zh-CN"/>
        </w:rPr>
        <w:t>肉鸡</w:t>
      </w:r>
      <w:r>
        <w:rPr>
          <w:rFonts w:hint="default"/>
          <w:color w:val="auto"/>
          <w:lang w:val="en-US" w:eastAsia="zh-CN"/>
        </w:rPr>
        <w:t>）产业园领导小组在规划统筹、政策制定和项目建设指导方面的职责，确保资金使用的科学性和合理性，</w:t>
      </w:r>
      <w:r>
        <w:rPr>
          <w:rFonts w:hint="eastAsia" w:ascii="仿宋" w:hAnsi="仿宋" w:eastAsia="仿宋" w:cs="仿宋"/>
          <w:color w:val="auto"/>
          <w:lang w:val="en-US" w:eastAsia="zh-CN"/>
        </w:rPr>
        <w:t>“把钱花到刀刃上”</w:t>
      </w:r>
      <w:r>
        <w:rPr>
          <w:rFonts w:hint="default"/>
          <w:color w:val="auto"/>
          <w:lang w:val="en-US" w:eastAsia="zh-CN"/>
        </w:rPr>
        <w:t>。</w:t>
      </w:r>
      <w:r>
        <w:rPr>
          <w:rFonts w:hint="default"/>
          <w:b/>
          <w:bCs/>
          <w:color w:val="auto"/>
          <w:lang w:val="en-US" w:eastAsia="zh-CN"/>
        </w:rPr>
        <w:t>二是</w:t>
      </w:r>
      <w:r>
        <w:rPr>
          <w:rFonts w:hint="default"/>
          <w:color w:val="auto"/>
          <w:lang w:val="en-US" w:eastAsia="zh-CN"/>
        </w:rPr>
        <w:t>要强化</w:t>
      </w:r>
      <w:r>
        <w:rPr>
          <w:rFonts w:hint="eastAsia"/>
          <w:color w:val="auto"/>
          <w:lang w:val="en-US" w:eastAsia="zh-CN"/>
        </w:rPr>
        <w:t>市级</w:t>
      </w:r>
      <w:r>
        <w:rPr>
          <w:rFonts w:hint="default"/>
          <w:color w:val="auto"/>
          <w:lang w:val="en-US" w:eastAsia="zh-CN"/>
        </w:rPr>
        <w:t>工作小组在项目建设推进、工作调度和日常管理工作等方面的职责，保</w:t>
      </w:r>
      <w:r>
        <w:rPr>
          <w:rFonts w:hint="eastAsia" w:ascii="仿宋" w:hAnsi="仿宋" w:eastAsia="仿宋" w:cs="仿宋"/>
          <w:color w:val="auto"/>
          <w:lang w:val="en-US" w:eastAsia="zh-CN"/>
        </w:rPr>
        <w:t>证“有人牵头、有人负责、目标清晰、职责明确、协调顺畅、部门配合、便捷高效”的工</w:t>
      </w:r>
      <w:r>
        <w:rPr>
          <w:rFonts w:hint="default"/>
          <w:color w:val="auto"/>
          <w:lang w:val="en-US" w:eastAsia="zh-CN"/>
        </w:rPr>
        <w:t>作状态，为园区建设工作的顺利进行奠定坚实基础。</w:t>
      </w:r>
      <w:r>
        <w:rPr>
          <w:rFonts w:hint="default"/>
          <w:b/>
          <w:bCs/>
          <w:color w:val="auto"/>
          <w:lang w:val="en-US" w:eastAsia="zh-CN"/>
        </w:rPr>
        <w:t>三是</w:t>
      </w:r>
      <w:r>
        <w:rPr>
          <w:rFonts w:hint="default"/>
          <w:color w:val="auto"/>
          <w:lang w:val="en-US" w:eastAsia="zh-CN"/>
        </w:rPr>
        <w:t>要明确</w:t>
      </w:r>
      <w:r>
        <w:rPr>
          <w:rFonts w:hint="eastAsia"/>
          <w:color w:val="auto"/>
          <w:lang w:val="en-US" w:eastAsia="zh-CN"/>
        </w:rPr>
        <w:t>德惠市</w:t>
      </w:r>
      <w:r>
        <w:rPr>
          <w:rFonts w:hint="default"/>
          <w:color w:val="auto"/>
          <w:lang w:val="en-US" w:eastAsia="zh-CN"/>
        </w:rPr>
        <w:t>国家现代农业（</w:t>
      </w:r>
      <w:r>
        <w:rPr>
          <w:rFonts w:hint="eastAsia"/>
          <w:color w:val="auto"/>
          <w:lang w:val="en-US" w:eastAsia="zh-CN"/>
        </w:rPr>
        <w:t>肉鸡</w:t>
      </w:r>
      <w:r>
        <w:rPr>
          <w:rFonts w:hint="default"/>
          <w:color w:val="auto"/>
          <w:lang w:val="en-US" w:eastAsia="zh-CN"/>
        </w:rPr>
        <w:t>）产业园管理委员会（简称</w:t>
      </w:r>
      <w:r>
        <w:rPr>
          <w:rFonts w:hint="eastAsia" w:ascii="仿宋" w:hAnsi="仿宋" w:eastAsia="仿宋" w:cs="仿宋"/>
          <w:color w:val="auto"/>
          <w:lang w:val="en-US" w:eastAsia="zh-CN"/>
        </w:rPr>
        <w:t>“产业园管委会”</w:t>
      </w:r>
      <w:r>
        <w:rPr>
          <w:rFonts w:hint="default"/>
          <w:color w:val="auto"/>
          <w:lang w:val="en-US" w:eastAsia="zh-CN"/>
        </w:rPr>
        <w:t>）在园区建设管理运营中的主体职责，采用市场化运营理念，建</w:t>
      </w:r>
      <w:r>
        <w:rPr>
          <w:rFonts w:hint="eastAsia" w:ascii="仿宋" w:hAnsi="仿宋" w:eastAsia="仿宋" w:cs="仿宋"/>
          <w:color w:val="auto"/>
          <w:lang w:val="en-US" w:eastAsia="zh-CN"/>
        </w:rPr>
        <w:t>立“决策机构一元化，管理机构行政化，服务机构企业化”的扁平式直线职能型产</w:t>
      </w:r>
      <w:r>
        <w:rPr>
          <w:rFonts w:hint="default"/>
          <w:color w:val="auto"/>
          <w:lang w:val="en-US" w:eastAsia="zh-CN"/>
        </w:rPr>
        <w:t>业园管委会组织结构，赋予管委会财政、国土、建设、环保等方面职能，推进项目落地和运行顺畅。</w:t>
      </w:r>
    </w:p>
    <w:p>
      <w:pPr>
        <w:pStyle w:val="5"/>
        <w:pageBreakBefore w:val="0"/>
        <w:numPr>
          <w:ilvl w:val="0"/>
          <w:numId w:val="4"/>
        </w:numPr>
        <w:kinsoku/>
        <w:wordWrap/>
        <w:overflowPunct/>
        <w:topLinePunct w:val="0"/>
        <w:autoSpaceDE/>
        <w:autoSpaceDN/>
        <w:bidi w:val="0"/>
        <w:adjustRightInd w:val="0"/>
        <w:snapToGrid w:val="0"/>
        <w:spacing w:before="0" w:beforeLines="-2147483648" w:after="0" w:afterLines="-2147483648" w:line="360" w:lineRule="auto"/>
        <w:ind w:left="0" w:leftChars="0" w:firstLine="643" w:firstLineChars="200"/>
        <w:textAlignment w:val="auto"/>
        <w:rPr>
          <w:rFonts w:hint="eastAsia" w:ascii="Times New Roman" w:hAnsi="Times New Roman" w:eastAsia="楷体" w:cs="Times New Roman"/>
          <w:bCs/>
          <w:color w:val="auto"/>
          <w:lang w:val="en-US" w:eastAsia="zh-CN"/>
        </w:rPr>
      </w:pPr>
      <w:bookmarkStart w:id="46" w:name="_Toc25653"/>
      <w:r>
        <w:rPr>
          <w:rFonts w:hint="eastAsia" w:ascii="Times New Roman" w:hAnsi="Times New Roman" w:eastAsia="楷体" w:cs="Times New Roman"/>
          <w:bCs/>
          <w:color w:val="auto"/>
          <w:lang w:val="en-US" w:eastAsia="zh-CN"/>
        </w:rPr>
        <w:t>项目管理</w:t>
      </w:r>
      <w:bookmarkEnd w:id="46"/>
    </w:p>
    <w:p>
      <w:pPr>
        <w:numPr>
          <w:ilvl w:val="0"/>
          <w:numId w:val="0"/>
        </w:numPr>
        <w:ind w:firstLine="643" w:firstLineChars="200"/>
        <w:rPr>
          <w:rFonts w:hint="default"/>
          <w:color w:val="auto"/>
          <w:lang w:val="en-US" w:eastAsia="zh-CN"/>
        </w:rPr>
      </w:pPr>
      <w:r>
        <w:rPr>
          <w:rFonts w:hint="default"/>
          <w:b/>
          <w:bCs/>
          <w:color w:val="auto"/>
          <w:lang w:val="en-US" w:eastAsia="zh-CN"/>
        </w:rPr>
        <w:t>一是要做好项目筛选工作。</w:t>
      </w:r>
      <w:r>
        <w:rPr>
          <w:rFonts w:hint="default"/>
          <w:color w:val="auto"/>
          <w:lang w:val="en-US" w:eastAsia="zh-CN"/>
        </w:rPr>
        <w:t>根据产业园创建规划要求，充分论证，做实做细项目建设前期工作，建立好项目库。</w:t>
      </w:r>
      <w:r>
        <w:rPr>
          <w:rFonts w:hint="default"/>
          <w:b/>
          <w:bCs/>
          <w:color w:val="auto"/>
          <w:lang w:val="en-US" w:eastAsia="zh-CN"/>
        </w:rPr>
        <w:t>二是要做好项目实施工作。</w:t>
      </w:r>
      <w:r>
        <w:rPr>
          <w:rFonts w:hint="default"/>
          <w:color w:val="auto"/>
          <w:lang w:val="en-US" w:eastAsia="zh-CN"/>
        </w:rPr>
        <w:t>由产业园管委会统一调度项目建设。在实施过程中落实政府采购制、工程监理制、项目法人负责制、项目招投标制、合同管理制等制度规定，加强项目实施过程监督，确保项目规范、阳光操作。</w:t>
      </w:r>
      <w:r>
        <w:rPr>
          <w:rFonts w:hint="default"/>
          <w:b/>
          <w:bCs/>
          <w:color w:val="auto"/>
          <w:lang w:val="en-US" w:eastAsia="zh-CN"/>
        </w:rPr>
        <w:t>三是要严把项目验收关。</w:t>
      </w:r>
      <w:r>
        <w:rPr>
          <w:rFonts w:hint="default"/>
          <w:color w:val="auto"/>
          <w:lang w:val="en-US" w:eastAsia="zh-CN"/>
        </w:rPr>
        <w:t>项目建设完毕后，项目施工单位向现代农业产业园管理委员会提出验收申请，由现代农业产业园管理委员会组织相关职能部门进行验收。</w:t>
      </w:r>
      <w:r>
        <w:rPr>
          <w:rFonts w:hint="default"/>
          <w:b/>
          <w:bCs/>
          <w:color w:val="auto"/>
          <w:lang w:val="en-US" w:eastAsia="zh-CN"/>
        </w:rPr>
        <w:t>四是要保障资金拨付。</w:t>
      </w:r>
      <w:r>
        <w:rPr>
          <w:rFonts w:hint="default"/>
          <w:color w:val="auto"/>
          <w:lang w:val="en-US" w:eastAsia="zh-CN"/>
        </w:rPr>
        <w:t>根据资金分配计划、合同进度、项目验收等相关资料，由</w:t>
      </w:r>
      <w:r>
        <w:rPr>
          <w:rFonts w:hint="eastAsia"/>
          <w:color w:val="auto"/>
          <w:lang w:val="en-US" w:eastAsia="zh-CN"/>
        </w:rPr>
        <w:t>市</w:t>
      </w:r>
      <w:r>
        <w:rPr>
          <w:rFonts w:hint="default"/>
          <w:color w:val="auto"/>
          <w:lang w:val="en-US" w:eastAsia="zh-CN"/>
        </w:rPr>
        <w:t>财政局做好项目资金拨付，项目资金实行国库集中支付制度，具备国库集中支付条件的，由</w:t>
      </w:r>
      <w:r>
        <w:rPr>
          <w:rFonts w:hint="eastAsia"/>
          <w:color w:val="auto"/>
          <w:lang w:val="en-US" w:eastAsia="zh-CN"/>
        </w:rPr>
        <w:t>市</w:t>
      </w:r>
      <w:r>
        <w:rPr>
          <w:rFonts w:hint="default"/>
          <w:color w:val="auto"/>
          <w:lang w:val="en-US" w:eastAsia="zh-CN"/>
        </w:rPr>
        <w:t>财政部门实行国库集中支付，暂不具备国库集中支付条件的，按有关规定实行报账制管理。</w:t>
      </w:r>
    </w:p>
    <w:p>
      <w:pPr>
        <w:pStyle w:val="5"/>
        <w:pageBreakBefore w:val="0"/>
        <w:numPr>
          <w:ilvl w:val="0"/>
          <w:numId w:val="4"/>
        </w:numPr>
        <w:kinsoku/>
        <w:wordWrap/>
        <w:overflowPunct/>
        <w:topLinePunct w:val="0"/>
        <w:autoSpaceDE/>
        <w:autoSpaceDN/>
        <w:bidi w:val="0"/>
        <w:adjustRightInd w:val="0"/>
        <w:snapToGrid w:val="0"/>
        <w:spacing w:before="0" w:beforeLines="-2147483648" w:after="0" w:afterLines="-2147483648" w:line="360" w:lineRule="auto"/>
        <w:ind w:left="0" w:leftChars="0" w:firstLine="643" w:firstLineChars="200"/>
        <w:textAlignment w:val="auto"/>
        <w:rPr>
          <w:rFonts w:hint="eastAsia" w:ascii="Times New Roman" w:hAnsi="Times New Roman" w:eastAsia="楷体" w:cs="Times New Roman"/>
          <w:bCs/>
          <w:color w:val="auto"/>
          <w:lang w:val="en-US" w:eastAsia="zh-CN"/>
        </w:rPr>
      </w:pPr>
      <w:bookmarkStart w:id="47" w:name="_Toc19646"/>
      <w:r>
        <w:rPr>
          <w:rFonts w:hint="eastAsia" w:ascii="Times New Roman" w:hAnsi="Times New Roman" w:eastAsia="楷体" w:cs="Times New Roman"/>
          <w:bCs/>
          <w:color w:val="auto"/>
          <w:lang w:val="en-US" w:eastAsia="zh-CN"/>
        </w:rPr>
        <w:t>风险防控</w:t>
      </w:r>
      <w:bookmarkEnd w:id="47"/>
    </w:p>
    <w:p>
      <w:pPr>
        <w:numPr>
          <w:ilvl w:val="0"/>
          <w:numId w:val="0"/>
        </w:numPr>
        <w:ind w:firstLine="643" w:firstLineChars="200"/>
        <w:rPr>
          <w:rFonts w:hint="default"/>
          <w:color w:val="auto"/>
          <w:lang w:val="en-US" w:eastAsia="zh-CN"/>
        </w:rPr>
      </w:pPr>
      <w:r>
        <w:rPr>
          <w:rFonts w:hint="default"/>
          <w:b/>
          <w:bCs/>
          <w:color w:val="auto"/>
          <w:lang w:val="en-US" w:eastAsia="zh-CN"/>
        </w:rPr>
        <w:t>一是提高风险防范意识。</w:t>
      </w:r>
      <w:r>
        <w:rPr>
          <w:rFonts w:hint="default"/>
          <w:color w:val="auto"/>
          <w:lang w:val="en-US" w:eastAsia="zh-CN"/>
        </w:rPr>
        <w:t>高度重视财政资金风险防范工作，强调财政资金支付安全性原则，明确提出</w:t>
      </w:r>
      <w:r>
        <w:rPr>
          <w:rFonts w:hint="eastAsia" w:ascii="仿宋" w:hAnsi="仿宋" w:eastAsia="仿宋" w:cs="仿宋"/>
          <w:color w:val="auto"/>
          <w:lang w:val="en-US" w:eastAsia="zh-CN"/>
        </w:rPr>
        <w:t>“申请审核无失误，资金支付无风险，档案资料无缺损，会计处理无差错”</w:t>
      </w:r>
      <w:r>
        <w:rPr>
          <w:rFonts w:hint="default"/>
          <w:color w:val="auto"/>
          <w:lang w:val="en-US" w:eastAsia="zh-CN"/>
        </w:rPr>
        <w:t>的安全工作目标，</w:t>
      </w:r>
      <w:r>
        <w:rPr>
          <w:rFonts w:hint="eastAsia" w:ascii="仿宋" w:hAnsi="仿宋" w:eastAsia="仿宋" w:cs="仿宋"/>
          <w:color w:val="auto"/>
          <w:lang w:val="en-US" w:eastAsia="zh-CN"/>
        </w:rPr>
        <w:t>将“建立健全内部监督制约机制，防范资金风险”列入重要职能内</w:t>
      </w:r>
      <w:r>
        <w:rPr>
          <w:rFonts w:hint="default"/>
          <w:color w:val="auto"/>
          <w:lang w:val="en-US" w:eastAsia="zh-CN"/>
        </w:rPr>
        <w:t>容。</w:t>
      </w:r>
      <w:r>
        <w:rPr>
          <w:rFonts w:hint="default"/>
          <w:b/>
          <w:bCs/>
          <w:color w:val="auto"/>
          <w:lang w:val="en-US" w:eastAsia="zh-CN"/>
        </w:rPr>
        <w:t>二是严格落实规章制度。</w:t>
      </w:r>
      <w:r>
        <w:rPr>
          <w:rFonts w:hint="default"/>
          <w:color w:val="auto"/>
          <w:lang w:val="en-US" w:eastAsia="zh-CN"/>
        </w:rPr>
        <w:t>制定和完善一系列内部控制制度，形成审核、复核、支付、会计核算、信息管理等工作环节的相互制约监督机制，为各项资金的支付设置层层风险</w:t>
      </w:r>
      <w:r>
        <w:rPr>
          <w:rFonts w:hint="eastAsia" w:ascii="仿宋" w:hAnsi="仿宋" w:eastAsia="仿宋" w:cs="仿宋"/>
          <w:color w:val="auto"/>
          <w:lang w:val="en-US" w:eastAsia="zh-CN"/>
        </w:rPr>
        <w:t>“防护网”</w:t>
      </w:r>
      <w:r>
        <w:rPr>
          <w:rFonts w:hint="default"/>
          <w:color w:val="auto"/>
          <w:lang w:val="en-US" w:eastAsia="zh-CN"/>
        </w:rPr>
        <w:t>，狠抓制度落实，强化日常管理，严格操作程序，在资金拨付上，严格遵守申请、审批、拨款、复核的操作程序。</w:t>
      </w:r>
      <w:r>
        <w:rPr>
          <w:rFonts w:hint="default"/>
          <w:b/>
          <w:bCs/>
          <w:color w:val="auto"/>
          <w:lang w:val="en-US" w:eastAsia="zh-CN"/>
        </w:rPr>
        <w:t>三是实行岗位分工控制。</w:t>
      </w:r>
      <w:r>
        <w:rPr>
          <w:rFonts w:hint="default"/>
          <w:color w:val="auto"/>
          <w:lang w:val="en-US" w:eastAsia="zh-CN"/>
        </w:rPr>
        <w:t>按照</w:t>
      </w:r>
      <w:r>
        <w:rPr>
          <w:rFonts w:hint="eastAsia" w:ascii="仿宋" w:hAnsi="仿宋" w:eastAsia="仿宋" w:cs="仿宋"/>
          <w:color w:val="auto"/>
          <w:lang w:val="en-US" w:eastAsia="zh-CN"/>
        </w:rPr>
        <w:t>“管好每一分钱，拨好每一笔款，记好每一笔账，确保财政资金万无一失”的目标</w:t>
      </w:r>
      <w:r>
        <w:rPr>
          <w:rFonts w:hint="default"/>
          <w:color w:val="auto"/>
          <w:lang w:val="en-US" w:eastAsia="zh-CN"/>
        </w:rPr>
        <w:t>要求，对</w:t>
      </w:r>
      <w:r>
        <w:rPr>
          <w:rFonts w:hint="eastAsia"/>
          <w:color w:val="auto"/>
          <w:lang w:val="en-US" w:eastAsia="zh-CN"/>
        </w:rPr>
        <w:t>相关</w:t>
      </w:r>
      <w:r>
        <w:rPr>
          <w:rFonts w:hint="default"/>
          <w:color w:val="auto"/>
          <w:lang w:val="en-US" w:eastAsia="zh-CN"/>
        </w:rPr>
        <w:t>人员合理统筹分工，确定各岗位的职责和权限，从岗位设置和人员分工上实行互相牵制，对各岗位资金业务实行交叉复核，保证办理财政资金业务的不相容岗位相互分离、相互制约、相互监督，形成规范的内部制衡机制。</w:t>
      </w:r>
      <w:r>
        <w:rPr>
          <w:rFonts w:hint="default"/>
          <w:b/>
          <w:bCs/>
          <w:color w:val="auto"/>
          <w:lang w:val="en-US" w:eastAsia="zh-CN"/>
        </w:rPr>
        <w:t>四是建立长效管理机制。</w:t>
      </w:r>
      <w:r>
        <w:rPr>
          <w:rFonts w:hint="default"/>
          <w:color w:val="auto"/>
          <w:lang w:val="en-US" w:eastAsia="zh-CN"/>
        </w:rPr>
        <w:t>对财政预算的安排、</w:t>
      </w:r>
      <w:r>
        <w:rPr>
          <w:rFonts w:hint="eastAsia"/>
          <w:color w:val="auto"/>
          <w:lang w:val="en-US" w:eastAsia="zh-CN"/>
        </w:rPr>
        <w:t>地方财政</w:t>
      </w:r>
      <w:r>
        <w:rPr>
          <w:rFonts w:hint="default"/>
          <w:color w:val="auto"/>
          <w:lang w:val="en-US" w:eastAsia="zh-CN"/>
        </w:rPr>
        <w:t>资金的拨付、预算事项的执行、财政财务的监管等核心职权，对职责分解、岗位设置、审批环节、操作流程等方面，从制度上加以规范和约束，使财政资金的运行全程受到动态化监控，有效保障财政财务管理工作更加公开透明、公平合理地得到实施运作。</w:t>
      </w:r>
    </w:p>
    <w:p>
      <w:pPr>
        <w:pStyle w:val="5"/>
        <w:pageBreakBefore w:val="0"/>
        <w:numPr>
          <w:ilvl w:val="0"/>
          <w:numId w:val="4"/>
        </w:numPr>
        <w:kinsoku/>
        <w:wordWrap/>
        <w:overflowPunct/>
        <w:topLinePunct w:val="0"/>
        <w:autoSpaceDE/>
        <w:autoSpaceDN/>
        <w:bidi w:val="0"/>
        <w:adjustRightInd w:val="0"/>
        <w:snapToGrid w:val="0"/>
        <w:spacing w:before="0" w:beforeLines="-2147483648" w:after="0" w:afterLines="-2147483648" w:line="360" w:lineRule="auto"/>
        <w:ind w:left="0" w:leftChars="0" w:firstLine="643" w:firstLineChars="200"/>
        <w:textAlignment w:val="auto"/>
        <w:rPr>
          <w:rFonts w:hint="eastAsia" w:ascii="Times New Roman" w:hAnsi="Times New Roman" w:eastAsia="楷体" w:cs="Times New Roman"/>
          <w:bCs/>
          <w:color w:val="auto"/>
          <w:lang w:val="en-US" w:eastAsia="zh-CN"/>
        </w:rPr>
      </w:pPr>
      <w:bookmarkStart w:id="48" w:name="_Toc14790"/>
      <w:r>
        <w:rPr>
          <w:rFonts w:hint="eastAsia" w:ascii="Times New Roman" w:hAnsi="Times New Roman" w:eastAsia="楷体" w:cs="Times New Roman"/>
          <w:bCs/>
          <w:color w:val="auto"/>
          <w:lang w:val="en-US" w:eastAsia="zh-CN"/>
        </w:rPr>
        <w:t>信息公开</w:t>
      </w:r>
      <w:bookmarkEnd w:id="48"/>
    </w:p>
    <w:p>
      <w:pPr>
        <w:numPr>
          <w:ilvl w:val="0"/>
          <w:numId w:val="0"/>
        </w:numPr>
        <w:ind w:firstLine="643" w:firstLineChars="200"/>
        <w:rPr>
          <w:rFonts w:hint="default"/>
          <w:color w:val="auto"/>
          <w:lang w:val="en-US" w:eastAsia="zh-CN"/>
        </w:rPr>
      </w:pPr>
      <w:r>
        <w:rPr>
          <w:rFonts w:hint="eastAsia"/>
          <w:b/>
          <w:bCs/>
          <w:color w:val="auto"/>
          <w:lang w:val="en-US" w:eastAsia="zh-CN"/>
        </w:rPr>
        <w:t>一是</w:t>
      </w:r>
      <w:r>
        <w:rPr>
          <w:rFonts w:hint="eastAsia"/>
          <w:color w:val="auto"/>
          <w:lang w:val="en-US" w:eastAsia="zh-CN"/>
        </w:rPr>
        <w:t>德惠市财政</w:t>
      </w:r>
      <w:r>
        <w:rPr>
          <w:rFonts w:hint="default"/>
          <w:color w:val="auto"/>
          <w:lang w:val="en-US" w:eastAsia="zh-CN"/>
        </w:rPr>
        <w:t>部门是本</w:t>
      </w:r>
      <w:r>
        <w:rPr>
          <w:rFonts w:hint="eastAsia"/>
          <w:color w:val="auto"/>
          <w:lang w:val="en-US" w:eastAsia="zh-CN"/>
        </w:rPr>
        <w:t>项目</w:t>
      </w:r>
      <w:r>
        <w:rPr>
          <w:rFonts w:hint="default"/>
          <w:color w:val="auto"/>
          <w:lang w:val="en-US" w:eastAsia="zh-CN"/>
        </w:rPr>
        <w:t>经管专项资金信息公开公示的责任主体。项目实施单位要及时以适当方式公开财政资金使用情况。下放项目审批权限的专项资金，由</w:t>
      </w:r>
      <w:r>
        <w:rPr>
          <w:rFonts w:hint="eastAsia"/>
          <w:color w:val="auto"/>
          <w:lang w:val="en-US" w:eastAsia="zh-CN"/>
        </w:rPr>
        <w:t>其他</w:t>
      </w:r>
      <w:r>
        <w:rPr>
          <w:rFonts w:hint="default"/>
          <w:color w:val="auto"/>
          <w:lang w:val="en-US" w:eastAsia="zh-CN"/>
        </w:rPr>
        <w:t>业务主管部门、用款单位</w:t>
      </w:r>
      <w:r>
        <w:rPr>
          <w:rFonts w:hint="eastAsia"/>
          <w:color w:val="auto"/>
          <w:lang w:val="en-US" w:eastAsia="zh-CN"/>
        </w:rPr>
        <w:t>严格按照规定</w:t>
      </w:r>
      <w:r>
        <w:rPr>
          <w:rFonts w:hint="default"/>
          <w:color w:val="auto"/>
          <w:lang w:val="en-US" w:eastAsia="zh-CN"/>
        </w:rPr>
        <w:t>，对管理过程产生的相关信息进行公开公示。</w:t>
      </w:r>
      <w:r>
        <w:rPr>
          <w:rFonts w:hint="eastAsia"/>
          <w:b/>
          <w:bCs/>
          <w:color w:val="auto"/>
          <w:lang w:val="en-US" w:eastAsia="zh-CN"/>
        </w:rPr>
        <w:t>二是</w:t>
      </w:r>
      <w:r>
        <w:rPr>
          <w:rFonts w:hint="default"/>
          <w:color w:val="auto"/>
          <w:lang w:val="en-US" w:eastAsia="zh-CN"/>
        </w:rPr>
        <w:t>除涉及保密要求或重大敏感事项不予公开的专项资金信息外，专项资金的分配、执行和结果等全过程信息，按</w:t>
      </w:r>
      <w:r>
        <w:rPr>
          <w:rFonts w:hint="eastAsia" w:ascii="仿宋" w:hAnsi="仿宋" w:eastAsia="仿宋" w:cs="仿宋"/>
          <w:color w:val="auto"/>
          <w:lang w:val="en-US" w:eastAsia="zh-CN"/>
        </w:rPr>
        <w:t>照“谁制定、谁分配、谁使用、谁公开”的原</w:t>
      </w:r>
      <w:r>
        <w:rPr>
          <w:rFonts w:hint="default"/>
          <w:color w:val="auto"/>
          <w:lang w:val="en-US" w:eastAsia="zh-CN"/>
        </w:rPr>
        <w:t>则向社会公开。</w:t>
      </w:r>
      <w:r>
        <w:rPr>
          <w:rFonts w:hint="eastAsia"/>
          <w:b/>
          <w:bCs/>
          <w:color w:val="auto"/>
          <w:lang w:val="en-US" w:eastAsia="zh-CN"/>
        </w:rPr>
        <w:t>三是</w:t>
      </w:r>
      <w:r>
        <w:rPr>
          <w:rFonts w:hint="eastAsia"/>
          <w:color w:val="auto"/>
          <w:lang w:val="en-US" w:eastAsia="zh-CN"/>
        </w:rPr>
        <w:t>行业</w:t>
      </w:r>
      <w:r>
        <w:rPr>
          <w:rFonts w:hint="default"/>
          <w:color w:val="auto"/>
          <w:lang w:val="en-US" w:eastAsia="zh-CN"/>
        </w:rPr>
        <w:t>主管部门应在相关信息审批生效后20日内，通过本部门门户网站或相关信息系统等载体向社会公开。市县业务主管部门、用款单位应通过本部门或本级政府、上级主管部门门户网站及其他信息载体进行公开。</w:t>
      </w:r>
    </w:p>
    <w:p>
      <w:pPr>
        <w:rPr>
          <w:rFonts w:hint="default"/>
          <w:color w:val="auto"/>
          <w:lang w:val="en-US" w:eastAsia="zh-CN"/>
        </w:rPr>
      </w:pPr>
      <w:r>
        <w:rPr>
          <w:rFonts w:hint="default"/>
          <w:color w:val="auto"/>
          <w:lang w:val="en-US" w:eastAsia="zh-CN"/>
        </w:rPr>
        <w:br w:type="page"/>
      </w:r>
    </w:p>
    <w:p>
      <w:pPr>
        <w:pStyle w:val="4"/>
        <w:pageBreakBefore w:val="0"/>
        <w:widowControl w:val="0"/>
        <w:numPr>
          <w:ilvl w:val="0"/>
          <w:numId w:val="0"/>
        </w:numPr>
        <w:kinsoku/>
        <w:wordWrap/>
        <w:overflowPunct/>
        <w:topLinePunct w:val="0"/>
        <w:autoSpaceDE/>
        <w:autoSpaceDN/>
        <w:bidi w:val="0"/>
        <w:adjustRightInd w:val="0"/>
        <w:snapToGrid w:val="0"/>
        <w:spacing w:before="0" w:beforeLines="0" w:after="0" w:line="360" w:lineRule="auto"/>
        <w:jc w:val="left"/>
        <w:textAlignment w:val="auto"/>
        <w:rPr>
          <w:rFonts w:hint="eastAsia" w:ascii="Times New Roman" w:hAnsi="Times New Roman" w:cs="Times New Roman"/>
          <w:b w:val="0"/>
          <w:bCs w:val="0"/>
          <w:color w:val="auto"/>
          <w:kern w:val="44"/>
          <w:sz w:val="32"/>
          <w:szCs w:val="32"/>
          <w:lang w:val="en-US" w:eastAsia="zh-CN"/>
        </w:rPr>
      </w:pPr>
      <w:bookmarkStart w:id="49" w:name="_Toc29872"/>
      <w:r>
        <w:rPr>
          <w:rFonts w:hint="eastAsia" w:ascii="Times New Roman" w:hAnsi="Times New Roman" w:cs="Times New Roman"/>
          <w:b w:val="0"/>
          <w:bCs w:val="0"/>
          <w:color w:val="auto"/>
          <w:kern w:val="44"/>
          <w:sz w:val="32"/>
          <w:szCs w:val="32"/>
          <w:lang w:val="en-US" w:eastAsia="zh-CN"/>
        </w:rPr>
        <w:t>附：县级人民政府批复同意的现代农业产业园中央财政奖补资金使用管理办法</w:t>
      </w:r>
      <w:bookmarkEnd w:id="49"/>
    </w:p>
    <w:p>
      <w:pPr>
        <w:ind w:left="0" w:leftChars="0" w:firstLine="0" w:firstLineChars="0"/>
        <w:rPr>
          <w:rFonts w:hint="default"/>
          <w:color w:val="auto"/>
          <w:lang w:val="en-US" w:eastAsia="zh-CN"/>
        </w:rPr>
      </w:pPr>
      <w:r>
        <w:rPr>
          <w:color w:val="auto"/>
        </w:rPr>
        <w:drawing>
          <wp:inline distT="0" distB="0" distL="114300" distR="114300">
            <wp:extent cx="5272405" cy="7418705"/>
            <wp:effectExtent l="0" t="0" r="4445" b="1079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5272405" cy="7418705"/>
                    </a:xfrm>
                    <a:prstGeom prst="rect">
                      <a:avLst/>
                    </a:prstGeom>
                    <a:noFill/>
                    <a:ln>
                      <a:noFill/>
                    </a:ln>
                  </pic:spPr>
                </pic:pic>
              </a:graphicData>
            </a:graphic>
          </wp:inline>
        </w:drawing>
      </w:r>
      <w:r>
        <w:rPr>
          <w:color w:val="auto"/>
        </w:rPr>
        <w:drawing>
          <wp:inline distT="0" distB="0" distL="114300" distR="114300">
            <wp:extent cx="5272405" cy="7356475"/>
            <wp:effectExtent l="0" t="0" r="4445" b="1587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stretch>
                      <a:fillRect/>
                    </a:stretch>
                  </pic:blipFill>
                  <pic:spPr>
                    <a:xfrm>
                      <a:off x="0" y="0"/>
                      <a:ext cx="5272405" cy="7356475"/>
                    </a:xfrm>
                    <a:prstGeom prst="rect">
                      <a:avLst/>
                    </a:prstGeom>
                    <a:noFill/>
                    <a:ln>
                      <a:noFill/>
                    </a:ln>
                  </pic:spPr>
                </pic:pic>
              </a:graphicData>
            </a:graphic>
          </wp:inline>
        </w:drawing>
      </w:r>
      <w:r>
        <w:rPr>
          <w:color w:val="auto"/>
        </w:rPr>
        <w:drawing>
          <wp:inline distT="0" distB="0" distL="114300" distR="114300">
            <wp:extent cx="5272405" cy="7480935"/>
            <wp:effectExtent l="0" t="0" r="4445" b="571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1"/>
                    <a:stretch>
                      <a:fillRect/>
                    </a:stretch>
                  </pic:blipFill>
                  <pic:spPr>
                    <a:xfrm>
                      <a:off x="0" y="0"/>
                      <a:ext cx="5272405" cy="7480935"/>
                    </a:xfrm>
                    <a:prstGeom prst="rect">
                      <a:avLst/>
                    </a:prstGeom>
                    <a:noFill/>
                    <a:ln>
                      <a:noFill/>
                    </a:ln>
                  </pic:spPr>
                </pic:pic>
              </a:graphicData>
            </a:graphic>
          </wp:inline>
        </w:drawing>
      </w:r>
      <w:r>
        <w:rPr>
          <w:color w:val="auto"/>
        </w:rPr>
        <w:drawing>
          <wp:inline distT="0" distB="0" distL="114300" distR="114300">
            <wp:extent cx="5271135" cy="7442835"/>
            <wp:effectExtent l="0" t="0" r="5715" b="571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2"/>
                    <a:stretch>
                      <a:fillRect/>
                    </a:stretch>
                  </pic:blipFill>
                  <pic:spPr>
                    <a:xfrm>
                      <a:off x="0" y="0"/>
                      <a:ext cx="5271135" cy="7442835"/>
                    </a:xfrm>
                    <a:prstGeom prst="rect">
                      <a:avLst/>
                    </a:prstGeom>
                    <a:noFill/>
                    <a:ln>
                      <a:noFill/>
                    </a:ln>
                  </pic:spPr>
                </pic:pic>
              </a:graphicData>
            </a:graphic>
          </wp:inline>
        </w:drawing>
      </w:r>
      <w:r>
        <w:rPr>
          <w:color w:val="auto"/>
        </w:rPr>
        <w:drawing>
          <wp:inline distT="0" distB="0" distL="114300" distR="114300">
            <wp:extent cx="5272405" cy="7548880"/>
            <wp:effectExtent l="0" t="0" r="4445" b="1397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3"/>
                    <a:stretch>
                      <a:fillRect/>
                    </a:stretch>
                  </pic:blipFill>
                  <pic:spPr>
                    <a:xfrm>
                      <a:off x="0" y="0"/>
                      <a:ext cx="5272405" cy="7548880"/>
                    </a:xfrm>
                    <a:prstGeom prst="rect">
                      <a:avLst/>
                    </a:prstGeom>
                    <a:noFill/>
                    <a:ln>
                      <a:noFill/>
                    </a:ln>
                  </pic:spPr>
                </pic:pic>
              </a:graphicData>
            </a:graphic>
          </wp:inline>
        </w:drawing>
      </w:r>
    </w:p>
    <w:p>
      <w:pPr>
        <w:pStyle w:val="15"/>
        <w:ind w:left="0" w:leftChars="0" w:firstLine="0" w:firstLineChars="0"/>
        <w:outlineLvl w:val="9"/>
        <w:rPr>
          <w:rFonts w:hint="default"/>
          <w:color w:val="auto"/>
          <w:lang w:val="en-US" w:eastAsia="zh-CN"/>
        </w:rPr>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CC51D6"/>
    <w:multiLevelType w:val="singleLevel"/>
    <w:tmpl w:val="0DCC51D6"/>
    <w:lvl w:ilvl="0" w:tentative="0">
      <w:start w:val="7"/>
      <w:numFmt w:val="chineseCounting"/>
      <w:suff w:val="nothing"/>
      <w:lvlText w:val="%1、"/>
      <w:lvlJc w:val="left"/>
      <w:rPr>
        <w:rFonts w:hint="eastAsia"/>
      </w:rPr>
    </w:lvl>
  </w:abstractNum>
  <w:abstractNum w:abstractNumId="1">
    <w:nsid w:val="47814869"/>
    <w:multiLevelType w:val="singleLevel"/>
    <w:tmpl w:val="47814869"/>
    <w:lvl w:ilvl="0" w:tentative="0">
      <w:start w:val="2"/>
      <w:numFmt w:val="chineseCounting"/>
      <w:suff w:val="nothing"/>
      <w:lvlText w:val="（%1）"/>
      <w:lvlJc w:val="left"/>
      <w:rPr>
        <w:rFonts w:hint="eastAsia"/>
      </w:rPr>
    </w:lvl>
  </w:abstractNum>
  <w:abstractNum w:abstractNumId="2">
    <w:nsid w:val="614957FD"/>
    <w:multiLevelType w:val="singleLevel"/>
    <w:tmpl w:val="614957FD"/>
    <w:lvl w:ilvl="0" w:tentative="0">
      <w:start w:val="1"/>
      <w:numFmt w:val="chineseCounting"/>
      <w:suff w:val="nothing"/>
      <w:lvlText w:val="（%1）"/>
      <w:lvlJc w:val="left"/>
      <w:rPr>
        <w:rFonts w:hint="eastAsia"/>
      </w:rPr>
    </w:lvl>
  </w:abstractNum>
  <w:abstractNum w:abstractNumId="3">
    <w:nsid w:val="6391E82B"/>
    <w:multiLevelType w:val="singleLevel"/>
    <w:tmpl w:val="6391E82B"/>
    <w:lvl w:ilvl="0" w:tentative="0">
      <w:start w:val="3"/>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ZDk4Y2M0ZjE2ZDc1OGFlNTIyNzIzYzUwODY2MmUifQ=="/>
  </w:docVars>
  <w:rsids>
    <w:rsidRoot w:val="08691EEC"/>
    <w:rsid w:val="00950240"/>
    <w:rsid w:val="012B4701"/>
    <w:rsid w:val="016245C6"/>
    <w:rsid w:val="029406B8"/>
    <w:rsid w:val="029622D7"/>
    <w:rsid w:val="02A95769"/>
    <w:rsid w:val="02BE3A7E"/>
    <w:rsid w:val="030C5E82"/>
    <w:rsid w:val="032D29B2"/>
    <w:rsid w:val="03795BF7"/>
    <w:rsid w:val="03830824"/>
    <w:rsid w:val="03A32C74"/>
    <w:rsid w:val="03C2134C"/>
    <w:rsid w:val="04090D29"/>
    <w:rsid w:val="044F07DB"/>
    <w:rsid w:val="0472786D"/>
    <w:rsid w:val="049851A7"/>
    <w:rsid w:val="04F01EE9"/>
    <w:rsid w:val="052756BA"/>
    <w:rsid w:val="058D14E6"/>
    <w:rsid w:val="05CC0260"/>
    <w:rsid w:val="05F1372B"/>
    <w:rsid w:val="061D6924"/>
    <w:rsid w:val="07217D65"/>
    <w:rsid w:val="0797489E"/>
    <w:rsid w:val="07EF46DA"/>
    <w:rsid w:val="082D0D5E"/>
    <w:rsid w:val="083E11BD"/>
    <w:rsid w:val="086329D2"/>
    <w:rsid w:val="08691EEC"/>
    <w:rsid w:val="08850B9A"/>
    <w:rsid w:val="08A90D2D"/>
    <w:rsid w:val="08B03E69"/>
    <w:rsid w:val="08EE04EE"/>
    <w:rsid w:val="0B955598"/>
    <w:rsid w:val="0C37664F"/>
    <w:rsid w:val="0C6A07D3"/>
    <w:rsid w:val="0CB3217A"/>
    <w:rsid w:val="0CC67B05"/>
    <w:rsid w:val="0CD67C16"/>
    <w:rsid w:val="0D3A01A5"/>
    <w:rsid w:val="0D51729D"/>
    <w:rsid w:val="0D961154"/>
    <w:rsid w:val="0DA9532B"/>
    <w:rsid w:val="0DBC0BBA"/>
    <w:rsid w:val="0DD732C9"/>
    <w:rsid w:val="0E320E7D"/>
    <w:rsid w:val="0E3966AF"/>
    <w:rsid w:val="0E9D6C3E"/>
    <w:rsid w:val="0EB6385C"/>
    <w:rsid w:val="0F052A35"/>
    <w:rsid w:val="0F391ACC"/>
    <w:rsid w:val="0F5337A0"/>
    <w:rsid w:val="0F7D6CDF"/>
    <w:rsid w:val="0FA1033D"/>
    <w:rsid w:val="0FB82A62"/>
    <w:rsid w:val="100C617A"/>
    <w:rsid w:val="100F5919"/>
    <w:rsid w:val="10947BCD"/>
    <w:rsid w:val="11E86905"/>
    <w:rsid w:val="120B0362"/>
    <w:rsid w:val="1255782F"/>
    <w:rsid w:val="12B33966"/>
    <w:rsid w:val="12DD1CFF"/>
    <w:rsid w:val="12DF2064"/>
    <w:rsid w:val="13B376EE"/>
    <w:rsid w:val="13E56553"/>
    <w:rsid w:val="143516C6"/>
    <w:rsid w:val="144641F2"/>
    <w:rsid w:val="148D1503"/>
    <w:rsid w:val="14A81E98"/>
    <w:rsid w:val="14F670A8"/>
    <w:rsid w:val="15152798"/>
    <w:rsid w:val="156368F6"/>
    <w:rsid w:val="159A3ED7"/>
    <w:rsid w:val="15DE268C"/>
    <w:rsid w:val="17365E81"/>
    <w:rsid w:val="175170EB"/>
    <w:rsid w:val="17575DF8"/>
    <w:rsid w:val="188350F6"/>
    <w:rsid w:val="18846779"/>
    <w:rsid w:val="198A7DBF"/>
    <w:rsid w:val="199074F9"/>
    <w:rsid w:val="1A361CF4"/>
    <w:rsid w:val="1A736AA5"/>
    <w:rsid w:val="1A8C400A"/>
    <w:rsid w:val="1ACB416A"/>
    <w:rsid w:val="1AFF336A"/>
    <w:rsid w:val="1BE51C24"/>
    <w:rsid w:val="1CA4388D"/>
    <w:rsid w:val="1D396442"/>
    <w:rsid w:val="1D4A19F2"/>
    <w:rsid w:val="1DCD6CB9"/>
    <w:rsid w:val="1DE859FC"/>
    <w:rsid w:val="1E0565AE"/>
    <w:rsid w:val="1F0625DD"/>
    <w:rsid w:val="1F1C3BAF"/>
    <w:rsid w:val="1F5070CE"/>
    <w:rsid w:val="1F9E2816"/>
    <w:rsid w:val="1FE87F35"/>
    <w:rsid w:val="204F3608"/>
    <w:rsid w:val="20E95D13"/>
    <w:rsid w:val="21555156"/>
    <w:rsid w:val="21562C7C"/>
    <w:rsid w:val="21B46CC5"/>
    <w:rsid w:val="21C83B7A"/>
    <w:rsid w:val="227C6712"/>
    <w:rsid w:val="22897265"/>
    <w:rsid w:val="229B4DEB"/>
    <w:rsid w:val="22B42350"/>
    <w:rsid w:val="22BF31CF"/>
    <w:rsid w:val="22CF718A"/>
    <w:rsid w:val="22E449E3"/>
    <w:rsid w:val="23AB72AF"/>
    <w:rsid w:val="24593AAD"/>
    <w:rsid w:val="2492046F"/>
    <w:rsid w:val="24D64800"/>
    <w:rsid w:val="25341526"/>
    <w:rsid w:val="25387031"/>
    <w:rsid w:val="25387269"/>
    <w:rsid w:val="25951FC5"/>
    <w:rsid w:val="25BF34E6"/>
    <w:rsid w:val="26853296"/>
    <w:rsid w:val="26C15F7C"/>
    <w:rsid w:val="278505C3"/>
    <w:rsid w:val="27DD18F5"/>
    <w:rsid w:val="27EB2370"/>
    <w:rsid w:val="280217AE"/>
    <w:rsid w:val="29053906"/>
    <w:rsid w:val="293E2974"/>
    <w:rsid w:val="2A7E571E"/>
    <w:rsid w:val="2AAA6513"/>
    <w:rsid w:val="2B1C4F36"/>
    <w:rsid w:val="2B97636B"/>
    <w:rsid w:val="2C35005E"/>
    <w:rsid w:val="2C426E83"/>
    <w:rsid w:val="2C66290D"/>
    <w:rsid w:val="2C7332D9"/>
    <w:rsid w:val="2D1F2134"/>
    <w:rsid w:val="2D964B2C"/>
    <w:rsid w:val="2E352597"/>
    <w:rsid w:val="2E9372BE"/>
    <w:rsid w:val="2F4D161E"/>
    <w:rsid w:val="2FBE5596"/>
    <w:rsid w:val="30D37E45"/>
    <w:rsid w:val="3163566D"/>
    <w:rsid w:val="31660CB9"/>
    <w:rsid w:val="316F5DC0"/>
    <w:rsid w:val="319B6BB5"/>
    <w:rsid w:val="31FE09B5"/>
    <w:rsid w:val="32230959"/>
    <w:rsid w:val="32665B26"/>
    <w:rsid w:val="333F5C66"/>
    <w:rsid w:val="33525999"/>
    <w:rsid w:val="33743B62"/>
    <w:rsid w:val="337844FA"/>
    <w:rsid w:val="33E5680D"/>
    <w:rsid w:val="340D18C0"/>
    <w:rsid w:val="341A07AB"/>
    <w:rsid w:val="34441786"/>
    <w:rsid w:val="348953EB"/>
    <w:rsid w:val="34CE72A2"/>
    <w:rsid w:val="3558300F"/>
    <w:rsid w:val="35867B7C"/>
    <w:rsid w:val="35F44AE6"/>
    <w:rsid w:val="36405F7D"/>
    <w:rsid w:val="36581519"/>
    <w:rsid w:val="375D66BB"/>
    <w:rsid w:val="379F1406"/>
    <w:rsid w:val="38B92017"/>
    <w:rsid w:val="38E86458"/>
    <w:rsid w:val="39050DB8"/>
    <w:rsid w:val="396C0E37"/>
    <w:rsid w:val="39732CC8"/>
    <w:rsid w:val="39807A19"/>
    <w:rsid w:val="399B34CA"/>
    <w:rsid w:val="39C26CA9"/>
    <w:rsid w:val="3A257964"/>
    <w:rsid w:val="3B612F35"/>
    <w:rsid w:val="3C176B12"/>
    <w:rsid w:val="3C683B38"/>
    <w:rsid w:val="3C6D114E"/>
    <w:rsid w:val="3D282D25"/>
    <w:rsid w:val="3D5531B4"/>
    <w:rsid w:val="3DBF1E7D"/>
    <w:rsid w:val="3DE47B36"/>
    <w:rsid w:val="3E0B50C2"/>
    <w:rsid w:val="3E6A32FB"/>
    <w:rsid w:val="3E974BA8"/>
    <w:rsid w:val="3EA662C7"/>
    <w:rsid w:val="3EAD1CD6"/>
    <w:rsid w:val="3EB72A7F"/>
    <w:rsid w:val="3EFB0C93"/>
    <w:rsid w:val="3F9D1D4A"/>
    <w:rsid w:val="3FF878C8"/>
    <w:rsid w:val="400242A3"/>
    <w:rsid w:val="400D3374"/>
    <w:rsid w:val="40363505"/>
    <w:rsid w:val="40A13ABC"/>
    <w:rsid w:val="41594397"/>
    <w:rsid w:val="41BD2B78"/>
    <w:rsid w:val="42B20202"/>
    <w:rsid w:val="42E61C5A"/>
    <w:rsid w:val="43784FA8"/>
    <w:rsid w:val="447B63D2"/>
    <w:rsid w:val="462A6302"/>
    <w:rsid w:val="467F21AA"/>
    <w:rsid w:val="46A61ACA"/>
    <w:rsid w:val="472745EF"/>
    <w:rsid w:val="47665118"/>
    <w:rsid w:val="48230CEB"/>
    <w:rsid w:val="48757D08"/>
    <w:rsid w:val="490B241B"/>
    <w:rsid w:val="492B36C1"/>
    <w:rsid w:val="495E7D38"/>
    <w:rsid w:val="4A1277D9"/>
    <w:rsid w:val="4A914BA1"/>
    <w:rsid w:val="4B315A3D"/>
    <w:rsid w:val="4BAC590E"/>
    <w:rsid w:val="4BB5666E"/>
    <w:rsid w:val="4C1930A0"/>
    <w:rsid w:val="4C567D06"/>
    <w:rsid w:val="4C912C37"/>
    <w:rsid w:val="4CC4300C"/>
    <w:rsid w:val="4DD23507"/>
    <w:rsid w:val="4E871EBA"/>
    <w:rsid w:val="4EAD5D22"/>
    <w:rsid w:val="4F29184C"/>
    <w:rsid w:val="4FE13ED5"/>
    <w:rsid w:val="4FF57980"/>
    <w:rsid w:val="50A218B6"/>
    <w:rsid w:val="50D61560"/>
    <w:rsid w:val="511B5244"/>
    <w:rsid w:val="51284CAF"/>
    <w:rsid w:val="512C5624"/>
    <w:rsid w:val="519D030C"/>
    <w:rsid w:val="52483D98"/>
    <w:rsid w:val="52B256B5"/>
    <w:rsid w:val="535A6478"/>
    <w:rsid w:val="536F7A4A"/>
    <w:rsid w:val="537A08C9"/>
    <w:rsid w:val="541D0E7A"/>
    <w:rsid w:val="546450D5"/>
    <w:rsid w:val="54AB6860"/>
    <w:rsid w:val="55BF108B"/>
    <w:rsid w:val="564E7DEA"/>
    <w:rsid w:val="5661367A"/>
    <w:rsid w:val="56B53276"/>
    <w:rsid w:val="56CA56C3"/>
    <w:rsid w:val="56F95FF6"/>
    <w:rsid w:val="57154464"/>
    <w:rsid w:val="5748483A"/>
    <w:rsid w:val="57623B4D"/>
    <w:rsid w:val="57B7551B"/>
    <w:rsid w:val="57C57C38"/>
    <w:rsid w:val="58733202"/>
    <w:rsid w:val="58C83E84"/>
    <w:rsid w:val="59513E7A"/>
    <w:rsid w:val="59995821"/>
    <w:rsid w:val="5A247299"/>
    <w:rsid w:val="5B7E082A"/>
    <w:rsid w:val="5B8A3673"/>
    <w:rsid w:val="5C3A6E47"/>
    <w:rsid w:val="5CB5471F"/>
    <w:rsid w:val="5D731EE5"/>
    <w:rsid w:val="5DF23751"/>
    <w:rsid w:val="5E40270F"/>
    <w:rsid w:val="5E4915C3"/>
    <w:rsid w:val="5EB56C59"/>
    <w:rsid w:val="5F4E67B3"/>
    <w:rsid w:val="5F710167"/>
    <w:rsid w:val="5FAF18FA"/>
    <w:rsid w:val="5FEB66AA"/>
    <w:rsid w:val="602D281F"/>
    <w:rsid w:val="603911C4"/>
    <w:rsid w:val="60E81AD2"/>
    <w:rsid w:val="628A03FC"/>
    <w:rsid w:val="628C1A7E"/>
    <w:rsid w:val="628D57F7"/>
    <w:rsid w:val="6299063F"/>
    <w:rsid w:val="62C27B96"/>
    <w:rsid w:val="62C31218"/>
    <w:rsid w:val="63275C4B"/>
    <w:rsid w:val="63F0603D"/>
    <w:rsid w:val="64175CC0"/>
    <w:rsid w:val="643343C1"/>
    <w:rsid w:val="64AD03D2"/>
    <w:rsid w:val="64D37E39"/>
    <w:rsid w:val="65184E2E"/>
    <w:rsid w:val="66055472"/>
    <w:rsid w:val="66967370"/>
    <w:rsid w:val="66B75538"/>
    <w:rsid w:val="66E71979"/>
    <w:rsid w:val="678278F4"/>
    <w:rsid w:val="68126ECA"/>
    <w:rsid w:val="681F15E7"/>
    <w:rsid w:val="68306194"/>
    <w:rsid w:val="68692862"/>
    <w:rsid w:val="6881195A"/>
    <w:rsid w:val="68F44821"/>
    <w:rsid w:val="694E3F32"/>
    <w:rsid w:val="695D23C7"/>
    <w:rsid w:val="69690D6B"/>
    <w:rsid w:val="69A91168"/>
    <w:rsid w:val="6A457F69"/>
    <w:rsid w:val="6B403D4E"/>
    <w:rsid w:val="6B7A7AE3"/>
    <w:rsid w:val="6B8F0831"/>
    <w:rsid w:val="6B985938"/>
    <w:rsid w:val="6BDB75D3"/>
    <w:rsid w:val="6C4057E3"/>
    <w:rsid w:val="6C832144"/>
    <w:rsid w:val="6CAD4EF8"/>
    <w:rsid w:val="6D392803"/>
    <w:rsid w:val="6D4C69DA"/>
    <w:rsid w:val="6DFF3A4C"/>
    <w:rsid w:val="6E7D2BFA"/>
    <w:rsid w:val="6E9817AB"/>
    <w:rsid w:val="6EFA2466"/>
    <w:rsid w:val="6F12155D"/>
    <w:rsid w:val="6FC34785"/>
    <w:rsid w:val="70AE52B6"/>
    <w:rsid w:val="71080E6A"/>
    <w:rsid w:val="71526589"/>
    <w:rsid w:val="715C7408"/>
    <w:rsid w:val="71FE401B"/>
    <w:rsid w:val="73C3376E"/>
    <w:rsid w:val="73E21E46"/>
    <w:rsid w:val="7450709A"/>
    <w:rsid w:val="74614A9D"/>
    <w:rsid w:val="748922C2"/>
    <w:rsid w:val="749E5641"/>
    <w:rsid w:val="74FE028A"/>
    <w:rsid w:val="75385A96"/>
    <w:rsid w:val="75750A98"/>
    <w:rsid w:val="75B72E5F"/>
    <w:rsid w:val="75EE4341"/>
    <w:rsid w:val="76236746"/>
    <w:rsid w:val="767F1059"/>
    <w:rsid w:val="76803089"/>
    <w:rsid w:val="76AF1D88"/>
    <w:rsid w:val="76BB697E"/>
    <w:rsid w:val="76C375E1"/>
    <w:rsid w:val="772B4D77"/>
    <w:rsid w:val="77660698"/>
    <w:rsid w:val="776A580E"/>
    <w:rsid w:val="77822FF8"/>
    <w:rsid w:val="779F3BAA"/>
    <w:rsid w:val="782C1E65"/>
    <w:rsid w:val="78AF2513"/>
    <w:rsid w:val="7937690F"/>
    <w:rsid w:val="7994349E"/>
    <w:rsid w:val="79AB2CDA"/>
    <w:rsid w:val="79C21DD2"/>
    <w:rsid w:val="7A1268B5"/>
    <w:rsid w:val="7AB20098"/>
    <w:rsid w:val="7B18069B"/>
    <w:rsid w:val="7B2E3BC3"/>
    <w:rsid w:val="7BF4502A"/>
    <w:rsid w:val="7C084414"/>
    <w:rsid w:val="7C3F3BAE"/>
    <w:rsid w:val="7C99604F"/>
    <w:rsid w:val="7CB64C17"/>
    <w:rsid w:val="7D0C6110"/>
    <w:rsid w:val="7D341239"/>
    <w:rsid w:val="7D4C6582"/>
    <w:rsid w:val="7DA912DF"/>
    <w:rsid w:val="7E665422"/>
    <w:rsid w:val="7EA06B86"/>
    <w:rsid w:val="7EE46C6E"/>
    <w:rsid w:val="7FC95C68"/>
    <w:rsid w:val="7FCE1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Times New Roman" w:hAnsi="Times New Roman" w:eastAsia="仿宋" w:cstheme="minorBidi"/>
      <w:kern w:val="2"/>
      <w:sz w:val="32"/>
      <w:szCs w:val="22"/>
      <w:lang w:val="en-US" w:eastAsia="zh-CN" w:bidi="ar-SA"/>
    </w:rPr>
  </w:style>
  <w:style w:type="paragraph" w:styleId="4">
    <w:name w:val="heading 1"/>
    <w:basedOn w:val="1"/>
    <w:next w:val="1"/>
    <w:autoRedefine/>
    <w:qFormat/>
    <w:uiPriority w:val="9"/>
    <w:pPr>
      <w:keepNext/>
      <w:keepLines/>
      <w:spacing w:before="240" w:after="240"/>
      <w:ind w:firstLine="0" w:firstLineChars="0"/>
      <w:jc w:val="center"/>
      <w:outlineLvl w:val="0"/>
    </w:pPr>
    <w:rPr>
      <w:rFonts w:eastAsia="黑体"/>
      <w:b/>
      <w:color w:val="000000" w:themeColor="text1"/>
      <w:sz w:val="36"/>
      <w:szCs w:val="40"/>
      <w14:textFill>
        <w14:solidFill>
          <w14:schemeClr w14:val="tx1"/>
        </w14:solidFill>
      </w14:textFill>
    </w:rPr>
  </w:style>
  <w:style w:type="paragraph" w:styleId="5">
    <w:name w:val="heading 2"/>
    <w:basedOn w:val="1"/>
    <w:next w:val="1"/>
    <w:autoRedefine/>
    <w:unhideWhenUsed/>
    <w:qFormat/>
    <w:uiPriority w:val="9"/>
    <w:pPr>
      <w:keepNext/>
      <w:keepLines/>
      <w:spacing w:before="156" w:beforeLines="50" w:after="156" w:afterLines="50"/>
      <w:ind w:firstLine="643" w:firstLineChars="0"/>
      <w:outlineLvl w:val="1"/>
    </w:pPr>
    <w:rPr>
      <w:rFonts w:eastAsia="宋体"/>
      <w:b/>
      <w:color w:val="000000" w:themeColor="text1"/>
      <w:szCs w:val="32"/>
      <w14:textFill>
        <w14:solidFill>
          <w14:schemeClr w14:val="tx1"/>
        </w14:solidFill>
      </w14:textFill>
    </w:rPr>
  </w:style>
  <w:style w:type="paragraph" w:styleId="6">
    <w:name w:val="heading 3"/>
    <w:basedOn w:val="1"/>
    <w:next w:val="1"/>
    <w:autoRedefine/>
    <w:unhideWhenUsed/>
    <w:qFormat/>
    <w:uiPriority w:val="9"/>
    <w:pPr>
      <w:keepNext/>
      <w:keepLines/>
      <w:spacing w:after="50" w:afterLines="50" w:line="560" w:lineRule="exact"/>
      <w:outlineLvl w:val="2"/>
    </w:pPr>
    <w:rPr>
      <w:rFonts w:eastAsia="宋体"/>
      <w:b/>
      <w:bCs/>
      <w:szCs w:val="32"/>
    </w:rPr>
  </w:style>
  <w:style w:type="character" w:default="1" w:styleId="18">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99"/>
    <w:pPr>
      <w:spacing w:after="120"/>
      <w:ind w:firstLine="721"/>
    </w:pPr>
    <w:rPr>
      <w:szCs w:val="24"/>
    </w:rPr>
  </w:style>
  <w:style w:type="paragraph" w:styleId="3">
    <w:name w:val="Body Text 2"/>
    <w:basedOn w:val="1"/>
    <w:autoRedefine/>
    <w:unhideWhenUsed/>
    <w:qFormat/>
    <w:uiPriority w:val="99"/>
    <w:pPr>
      <w:spacing w:after="120" w:line="480" w:lineRule="auto"/>
    </w:pPr>
  </w:style>
  <w:style w:type="paragraph" w:styleId="7">
    <w:name w:val="Normal Indent"/>
    <w:basedOn w:val="1"/>
    <w:autoRedefine/>
    <w:qFormat/>
    <w:uiPriority w:val="0"/>
    <w:pPr>
      <w:ind w:firstLine="420"/>
    </w:pPr>
    <w:rPr>
      <w:rFonts w:ascii="Times New Roman" w:hAnsi="Times New Roman" w:eastAsia="宋体" w:cs="Times New Roman"/>
      <w:szCs w:val="20"/>
    </w:rPr>
  </w:style>
  <w:style w:type="paragraph" w:styleId="8">
    <w:name w:val="index 5"/>
    <w:basedOn w:val="1"/>
    <w:next w:val="1"/>
    <w:autoRedefine/>
    <w:unhideWhenUsed/>
    <w:qFormat/>
    <w:uiPriority w:val="99"/>
    <w:pPr>
      <w:jc w:val="left"/>
    </w:pPr>
    <w:rPr>
      <w:rFonts w:ascii="仿宋_GB2312" w:eastAsia="仿宋_GB2312"/>
      <w:b/>
      <w:szCs w:val="32"/>
    </w:rPr>
  </w:style>
  <w:style w:type="paragraph" w:styleId="9">
    <w:name w:val="Body Text Indent"/>
    <w:basedOn w:val="1"/>
    <w:next w:val="8"/>
    <w:autoRedefine/>
    <w:unhideWhenUsed/>
    <w:qFormat/>
    <w:uiPriority w:val="99"/>
    <w:pPr>
      <w:spacing w:after="120"/>
      <w:ind w:left="420" w:leftChars="200"/>
    </w:p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0"/>
  </w:style>
  <w:style w:type="paragraph" w:styleId="13">
    <w:name w:val="toc 2"/>
    <w:basedOn w:val="1"/>
    <w:next w:val="1"/>
    <w:autoRedefine/>
    <w:qFormat/>
    <w:uiPriority w:val="0"/>
    <w:pPr>
      <w:ind w:left="420" w:leftChars="200"/>
    </w:p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Title"/>
    <w:basedOn w:val="1"/>
    <w:next w:val="1"/>
    <w:autoRedefine/>
    <w:qFormat/>
    <w:uiPriority w:val="10"/>
    <w:pPr>
      <w:spacing w:before="240" w:after="60"/>
      <w:jc w:val="center"/>
      <w:outlineLvl w:val="0"/>
    </w:pPr>
    <w:rPr>
      <w:rFonts w:asciiTheme="majorHAnsi" w:hAnsiTheme="majorHAnsi" w:eastAsiaTheme="majorEastAsia" w:cstheme="majorBidi"/>
      <w:b/>
      <w:bCs/>
      <w:szCs w:val="32"/>
    </w:rPr>
  </w:style>
  <w:style w:type="paragraph" w:styleId="16">
    <w:name w:val="Body Text First Indent 2"/>
    <w:basedOn w:val="9"/>
    <w:next w:val="1"/>
    <w:autoRedefine/>
    <w:unhideWhenUsed/>
    <w:qFormat/>
    <w:uiPriority w:val="99"/>
    <w:pPr>
      <w:ind w:firstLine="420"/>
    </w:pPr>
  </w:style>
  <w:style w:type="character" w:styleId="19">
    <w:name w:val="Strong"/>
    <w:basedOn w:val="18"/>
    <w:autoRedefine/>
    <w:qFormat/>
    <w:uiPriority w:val="0"/>
    <w:rPr>
      <w:b/>
    </w:rPr>
  </w:style>
  <w:style w:type="paragraph" w:customStyle="1" w:styleId="20">
    <w:name w:val="正文-公1"/>
    <w:basedOn w:val="1"/>
    <w:autoRedefine/>
    <w:qFormat/>
    <w:uiPriority w:val="0"/>
    <w:pPr>
      <w:spacing w:line="240" w:lineRule="auto"/>
      <w:jc w:val="left"/>
    </w:pPr>
    <w:rPr>
      <w:rFonts w:eastAsia="仿宋_GB2312" w:asciiTheme="minorHAnsi"/>
      <w:sz w:val="21"/>
    </w:rPr>
  </w:style>
  <w:style w:type="character" w:customStyle="1" w:styleId="21">
    <w:name w:val="font21"/>
    <w:basedOn w:val="18"/>
    <w:autoRedefine/>
    <w:qFormat/>
    <w:uiPriority w:val="0"/>
    <w:rPr>
      <w:rFonts w:hint="default" w:ascii="Times New Roman" w:hAnsi="Times New Roman" w:cs="Times New Roman"/>
      <w:color w:val="000000"/>
      <w:sz w:val="20"/>
      <w:szCs w:val="20"/>
      <w:u w:val="none"/>
    </w:rPr>
  </w:style>
  <w:style w:type="character" w:customStyle="1" w:styleId="22">
    <w:name w:val="font61"/>
    <w:basedOn w:val="18"/>
    <w:autoRedefine/>
    <w:qFormat/>
    <w:uiPriority w:val="0"/>
    <w:rPr>
      <w:rFonts w:hint="eastAsia" w:ascii="宋体" w:hAnsi="宋体" w:eastAsia="宋体" w:cs="宋体"/>
      <w:color w:val="000000"/>
      <w:sz w:val="20"/>
      <w:szCs w:val="20"/>
      <w:u w:val="none"/>
    </w:rPr>
  </w:style>
  <w:style w:type="paragraph" w:customStyle="1" w:styleId="23">
    <w:name w:val="WPSOffice手动目录 1"/>
    <w:autoRedefine/>
    <w:qFormat/>
    <w:uiPriority w:val="0"/>
    <w:pPr>
      <w:ind w:leftChars="0"/>
    </w:pPr>
    <w:rPr>
      <w:rFonts w:ascii="Times New Roman" w:hAnsi="Times New Roman" w:eastAsia="宋体" w:cs="Times New Roman"/>
      <w:sz w:val="20"/>
      <w:szCs w:val="20"/>
    </w:rPr>
  </w:style>
  <w:style w:type="paragraph" w:customStyle="1" w:styleId="24">
    <w:name w:val="WPSOffice手动目录 2"/>
    <w:autoRedefine/>
    <w:qFormat/>
    <w:uiPriority w:val="0"/>
    <w:pPr>
      <w:ind w:leftChars="200"/>
    </w:pPr>
    <w:rPr>
      <w:rFonts w:ascii="Times New Roman" w:hAnsi="Times New Roman" w:eastAsia="宋体" w:cs="Times New Roman"/>
      <w:sz w:val="20"/>
      <w:szCs w:val="20"/>
    </w:rPr>
  </w:style>
  <w:style w:type="character" w:customStyle="1" w:styleId="25">
    <w:name w:val="font41"/>
    <w:basedOn w:val="18"/>
    <w:autoRedefine/>
    <w:qFormat/>
    <w:uiPriority w:val="0"/>
    <w:rPr>
      <w:rFonts w:hint="eastAsia" w:ascii="宋体" w:hAnsi="宋体" w:eastAsia="宋体" w:cs="宋体"/>
      <w:color w:val="000000"/>
      <w:sz w:val="20"/>
      <w:szCs w:val="20"/>
      <w:u w:val="none"/>
    </w:rPr>
  </w:style>
  <w:style w:type="character" w:customStyle="1" w:styleId="26">
    <w:name w:val="font121"/>
    <w:basedOn w:val="18"/>
    <w:autoRedefine/>
    <w:qFormat/>
    <w:uiPriority w:val="0"/>
    <w:rPr>
      <w:rFonts w:hint="default" w:ascii="Times New Roman" w:hAnsi="Times New Roman" w:cs="Times New Roman"/>
      <w:color w:val="000000"/>
      <w:sz w:val="20"/>
      <w:szCs w:val="20"/>
      <w:u w:val="none"/>
    </w:rPr>
  </w:style>
  <w:style w:type="character" w:customStyle="1" w:styleId="27">
    <w:name w:val="font71"/>
    <w:basedOn w:val="18"/>
    <w:autoRedefine/>
    <w:qFormat/>
    <w:uiPriority w:val="0"/>
    <w:rPr>
      <w:rFonts w:hint="eastAsia" w:ascii="宋体" w:hAnsi="宋体" w:eastAsia="宋体" w:cs="宋体"/>
      <w:color w:val="000000"/>
      <w:sz w:val="20"/>
      <w:szCs w:val="20"/>
      <w:u w:val="none"/>
    </w:rPr>
  </w:style>
  <w:style w:type="character" w:customStyle="1" w:styleId="28">
    <w:name w:val="font101"/>
    <w:basedOn w:val="18"/>
    <w:qFormat/>
    <w:uiPriority w:val="0"/>
    <w:rPr>
      <w:rFonts w:hint="default" w:ascii="Times New Roman" w:hAnsi="Times New Roman" w:cs="Times New Roman"/>
      <w:color w:val="000000"/>
      <w:sz w:val="20"/>
      <w:szCs w:val="20"/>
      <w:u w:val="none"/>
    </w:rPr>
  </w:style>
  <w:style w:type="character" w:customStyle="1" w:styleId="29">
    <w:name w:val="font51"/>
    <w:basedOn w:val="18"/>
    <w:qFormat/>
    <w:uiPriority w:val="0"/>
    <w:rPr>
      <w:rFonts w:hint="default" w:ascii="Times New Roman" w:hAnsi="Times New Roman" w:cs="Times New Roman"/>
      <w:color w:val="000000"/>
      <w:sz w:val="20"/>
      <w:szCs w:val="20"/>
      <w:u w:val="none"/>
    </w:rPr>
  </w:style>
  <w:style w:type="character" w:customStyle="1" w:styleId="30">
    <w:name w:val="font81"/>
    <w:basedOn w:val="18"/>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10962</Words>
  <Characters>11544</Characters>
  <Lines>0</Lines>
  <Paragraphs>0</Paragraphs>
  <TotalTime>43</TotalTime>
  <ScaleCrop>false</ScaleCrop>
  <LinksUpToDate>false</LinksUpToDate>
  <CharactersWithSpaces>11631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2024-03-14T07:14:00Z</dcterms:created>
  <dc:creator>工作号</dc:creator>
  <cp:lastModifiedBy>工作号</cp:lastModifiedBy>
  <dcterms:modified xsi:type="dcterms:W3CDTF">2024-06-07T06:31:28Z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0E69F375BCDC4D9FB3530191ED3355C7_11</vt:lpwstr>
  </property>
</Properties>
</file>